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lear" w:pos="426"/>
        </w:tabs>
      </w:pPr>
    </w:p>
    <w:p>
      <w:pPr>
        <w:tabs>
          <w:tab w:val="clear" w:pos="426"/>
        </w:tabs>
      </w:pPr>
    </w:p>
    <w:p>
      <w:pPr>
        <w:tabs>
          <w:tab w:val="clear" w:pos="426"/>
        </w:tabs>
        <w:jc w:val="right"/>
        <w:rPr>
          <w:b/>
          <w:u w:val="single"/>
        </w:rPr>
      </w:pPr>
      <w:r>
        <w:rPr>
          <w:rFonts w:hint="eastAsia"/>
        </w:rPr>
        <w:t xml:space="preserve">                                                     项目编号：</w:t>
      </w:r>
      <w:r>
        <w:rPr>
          <w:rFonts w:hint="eastAsia"/>
          <w:b/>
          <w:u w:val="single"/>
        </w:rPr>
        <w:t>SSZX2024-345</w:t>
      </w:r>
    </w:p>
    <w:p>
      <w:pPr>
        <w:tabs>
          <w:tab w:val="clear" w:pos="426"/>
        </w:tabs>
      </w:pPr>
    </w:p>
    <w:p>
      <w:pPr>
        <w:tabs>
          <w:tab w:val="clear" w:pos="426"/>
        </w:tabs>
      </w:pPr>
    </w:p>
    <w:p>
      <w:pPr>
        <w:tabs>
          <w:tab w:val="clear" w:pos="426"/>
        </w:tabs>
      </w:pPr>
    </w:p>
    <w:p>
      <w:pPr>
        <w:widowControl w:val="0"/>
        <w:spacing w:line="300" w:lineRule="auto"/>
        <w:jc w:val="center"/>
        <w:rPr>
          <w:rFonts w:hAnsi="Times New Roman" w:cs="Times New Roman"/>
          <w:spacing w:val="26"/>
          <w:kern w:val="2"/>
          <w:sz w:val="72"/>
          <w:szCs w:val="72"/>
        </w:rPr>
      </w:pPr>
      <w:r>
        <w:rPr>
          <w:rFonts w:hint="eastAsia" w:cs="Times New Roman"/>
          <w:spacing w:val="26"/>
          <w:kern w:val="2"/>
          <w:sz w:val="72"/>
          <w:szCs w:val="72"/>
        </w:rPr>
        <w:t>公开招标</w:t>
      </w:r>
    </w:p>
    <w:p>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hint="eastAsia" w:cs="Times New Roman"/>
          <w:spacing w:val="26"/>
          <w:kern w:val="2"/>
          <w:sz w:val="72"/>
          <w:szCs w:val="20"/>
        </w:rPr>
        <w:t>招标文件</w:t>
      </w:r>
    </w:p>
    <w:p>
      <w:pPr>
        <w:tabs>
          <w:tab w:val="clear" w:pos="426"/>
        </w:tabs>
      </w:pPr>
    </w:p>
    <w:p>
      <w:pPr>
        <w:tabs>
          <w:tab w:val="clear" w:pos="426"/>
        </w:tabs>
      </w:pPr>
    </w:p>
    <w:p>
      <w:pPr>
        <w:tabs>
          <w:tab w:val="clear" w:pos="426"/>
        </w:tabs>
      </w:pPr>
    </w:p>
    <w:p>
      <w:pPr>
        <w:tabs>
          <w:tab w:val="clear" w:pos="426"/>
        </w:tabs>
        <w:jc w:val="center"/>
        <w:rPr>
          <w:rFonts w:ascii="黑体" w:hAnsi="Arial" w:eastAsia="黑体" w:cs="Arial"/>
          <w:sz w:val="52"/>
          <w:szCs w:val="52"/>
        </w:rPr>
      </w:pPr>
      <w:r>
        <w:rPr>
          <w:rFonts w:hint="eastAsia" w:ascii="黑体" w:hAnsi="Arial" w:eastAsia="黑体" w:cs="Arial"/>
          <w:sz w:val="52"/>
          <w:szCs w:val="52"/>
        </w:rPr>
        <w:t>【货物类】</w:t>
      </w: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widowControl w:val="0"/>
        <w:shd w:val="clear" w:color="auto" w:fill="auto"/>
        <w:tabs>
          <w:tab w:val="clear" w:pos="426"/>
        </w:tabs>
        <w:adjustRightInd/>
        <w:snapToGrid/>
        <w:spacing w:line="300" w:lineRule="auto"/>
        <w:ind w:left="1798" w:leftChars="142" w:hanging="1500" w:hangingChars="500"/>
        <w:rPr>
          <w:rFonts w:cs="Times New Roman"/>
          <w:kern w:val="2"/>
          <w:sz w:val="30"/>
          <w:szCs w:val="20"/>
        </w:rPr>
      </w:pPr>
      <w:r>
        <w:rPr>
          <w:rFonts w:hint="eastAsia" w:cs="Times New Roman"/>
          <w:kern w:val="2"/>
          <w:sz w:val="30"/>
          <w:szCs w:val="20"/>
        </w:rPr>
        <w:t>项目名称：</w:t>
      </w:r>
      <w:r>
        <w:rPr>
          <w:rFonts w:hint="eastAsia" w:cs="Times New Roman"/>
          <w:kern w:val="2"/>
          <w:sz w:val="30"/>
          <w:szCs w:val="20"/>
          <w:u w:val="single"/>
        </w:rPr>
        <w:t>广东省深圳市宝安区消防救援大队2024年一级站(新建站)、二级站指挥调度系统设备购置项目</w:t>
      </w:r>
    </w:p>
    <w:p>
      <w:pPr>
        <w:widowControl w:val="0"/>
        <w:shd w:val="clear" w:color="auto" w:fill="auto"/>
        <w:tabs>
          <w:tab w:val="clear" w:pos="426"/>
        </w:tabs>
        <w:adjustRightInd/>
        <w:snapToGrid/>
        <w:spacing w:line="300" w:lineRule="auto"/>
        <w:ind w:left="1500" w:hanging="1500" w:hangingChars="500"/>
        <w:rPr>
          <w:rFonts w:cs="Times New Roman"/>
          <w:kern w:val="2"/>
          <w:sz w:val="30"/>
          <w:szCs w:val="20"/>
        </w:rPr>
      </w:pPr>
    </w:p>
    <w:p>
      <w:pPr>
        <w:widowControl w:val="0"/>
        <w:shd w:val="clear" w:color="auto" w:fill="auto"/>
        <w:tabs>
          <w:tab w:val="clear" w:pos="426"/>
        </w:tabs>
        <w:adjustRightInd/>
        <w:snapToGrid/>
        <w:spacing w:line="300" w:lineRule="auto"/>
        <w:ind w:left="1498" w:leftChars="142" w:hanging="1200" w:hangingChars="400"/>
        <w:rPr>
          <w:rFonts w:cs="Times New Roman"/>
          <w:kern w:val="2"/>
          <w:sz w:val="30"/>
          <w:szCs w:val="20"/>
        </w:rPr>
      </w:pPr>
      <w:r>
        <w:rPr>
          <w:rFonts w:hint="eastAsia" w:cs="Times New Roman"/>
          <w:kern w:val="2"/>
          <w:sz w:val="30"/>
          <w:szCs w:val="20"/>
        </w:rPr>
        <w:t>采购人名称：</w:t>
      </w:r>
      <w:r>
        <w:rPr>
          <w:rFonts w:hint="eastAsia" w:cs="Times New Roman"/>
          <w:kern w:val="2"/>
          <w:sz w:val="30"/>
          <w:szCs w:val="20"/>
          <w:u w:val="single"/>
        </w:rPr>
        <w:t>深圳市宝安区消防救援大队</w:t>
      </w:r>
    </w:p>
    <w:p>
      <w:pPr>
        <w:widowControl w:val="0"/>
        <w:shd w:val="clear" w:color="auto" w:fill="auto"/>
        <w:tabs>
          <w:tab w:val="clear" w:pos="426"/>
        </w:tabs>
        <w:adjustRightInd/>
        <w:snapToGrid/>
        <w:spacing w:line="300" w:lineRule="auto"/>
        <w:ind w:left="1500" w:hanging="1500" w:hangingChars="500"/>
        <w:rPr>
          <w:rFonts w:cs="Times New Roman"/>
          <w:kern w:val="2"/>
          <w:sz w:val="30"/>
          <w:szCs w:val="20"/>
        </w:rPr>
      </w:pPr>
    </w:p>
    <w:p>
      <w:pPr>
        <w:widowControl w:val="0"/>
        <w:shd w:val="clear" w:color="auto" w:fill="auto"/>
        <w:tabs>
          <w:tab w:val="clear" w:pos="426"/>
        </w:tabs>
        <w:adjustRightInd/>
        <w:snapToGrid/>
        <w:spacing w:line="300" w:lineRule="auto"/>
        <w:ind w:left="1498" w:leftChars="142" w:hanging="1200" w:hangingChars="400"/>
      </w:pPr>
      <w:r>
        <w:rPr>
          <w:rFonts w:hint="eastAsia" w:cs="Times New Roman"/>
          <w:kern w:val="2"/>
          <w:sz w:val="30"/>
          <w:szCs w:val="20"/>
        </w:rPr>
        <w:t>采购代理机构名称：</w:t>
      </w:r>
      <w:r>
        <w:rPr>
          <w:rFonts w:hint="eastAsia" w:cs="Times New Roman"/>
          <w:kern w:val="2"/>
          <w:sz w:val="30"/>
          <w:szCs w:val="20"/>
          <w:u w:val="single"/>
        </w:rPr>
        <w:t>深圳市深水水务咨询有限公司</w:t>
      </w:r>
    </w:p>
    <w:p>
      <w:pPr>
        <w:widowControl w:val="0"/>
        <w:shd w:val="clear" w:color="auto" w:fill="auto"/>
        <w:tabs>
          <w:tab w:val="clear" w:pos="426"/>
        </w:tabs>
        <w:adjustRightInd/>
        <w:snapToGrid/>
        <w:spacing w:line="300" w:lineRule="auto"/>
        <w:ind w:left="298" w:leftChars="142"/>
        <w:rPr>
          <w:rFonts w:cs="Times New Roman"/>
          <w:kern w:val="2"/>
          <w:sz w:val="30"/>
          <w:szCs w:val="20"/>
          <w:u w:val="single"/>
        </w:rPr>
      </w:pPr>
    </w:p>
    <w:p>
      <w:pPr>
        <w:widowControl w:val="0"/>
        <w:shd w:val="clear" w:color="auto" w:fill="auto"/>
        <w:tabs>
          <w:tab w:val="clear" w:pos="426"/>
        </w:tabs>
        <w:adjustRightInd/>
        <w:snapToGrid/>
        <w:spacing w:line="300" w:lineRule="auto"/>
        <w:ind w:left="298" w:leftChars="142"/>
        <w:jc w:val="center"/>
        <w:rPr>
          <w:rFonts w:cs="Times New Roman"/>
          <w:b/>
          <w:bCs/>
          <w:kern w:val="2"/>
          <w:sz w:val="30"/>
          <w:szCs w:val="20"/>
        </w:rPr>
      </w:pPr>
    </w:p>
    <w:p>
      <w:pPr>
        <w:widowControl w:val="0"/>
        <w:shd w:val="clear" w:color="auto" w:fill="auto"/>
        <w:tabs>
          <w:tab w:val="clear" w:pos="426"/>
        </w:tabs>
        <w:adjustRightInd/>
        <w:snapToGrid/>
        <w:spacing w:line="300" w:lineRule="auto"/>
        <w:ind w:left="298" w:leftChars="142"/>
        <w:jc w:val="center"/>
        <w:rPr>
          <w:rFonts w:cs="Times New Roman"/>
          <w:b/>
          <w:bCs/>
          <w:kern w:val="2"/>
          <w:sz w:val="30"/>
          <w:szCs w:val="20"/>
        </w:rPr>
      </w:pPr>
    </w:p>
    <w:p>
      <w:pPr>
        <w:widowControl w:val="0"/>
        <w:shd w:val="clear" w:color="auto" w:fill="auto"/>
        <w:tabs>
          <w:tab w:val="clear" w:pos="426"/>
        </w:tabs>
        <w:adjustRightInd/>
        <w:snapToGrid/>
        <w:spacing w:line="300" w:lineRule="auto"/>
        <w:ind w:left="298" w:leftChars="142"/>
        <w:jc w:val="center"/>
        <w:rPr>
          <w:rFonts w:cs="Times New Roman"/>
          <w:b/>
          <w:bCs/>
          <w:kern w:val="2"/>
          <w:sz w:val="30"/>
          <w:szCs w:val="20"/>
        </w:rPr>
        <w:sectPr>
          <w:headerReference r:id="rId6" w:type="first"/>
          <w:headerReference r:id="rId5" w:type="default"/>
          <w:footerReference r:id="rId7" w:type="even"/>
          <w:pgSz w:w="11906" w:h="16838"/>
          <w:pgMar w:top="1134" w:right="1700" w:bottom="1134" w:left="1418" w:header="851" w:footer="992" w:gutter="0"/>
          <w:pgNumType w:start="0"/>
          <w:cols w:space="720" w:num="1"/>
          <w:titlePg/>
          <w:docGrid w:linePitch="462" w:charSpace="0"/>
        </w:sectPr>
      </w:pPr>
      <w:r>
        <w:rPr>
          <w:rFonts w:hint="eastAsia" w:cs="Times New Roman"/>
          <w:b/>
          <w:bCs/>
          <w:kern w:val="2"/>
          <w:sz w:val="30"/>
          <w:szCs w:val="20"/>
        </w:rPr>
        <w:t>2</w:t>
      </w:r>
      <w:r>
        <w:rPr>
          <w:rFonts w:cs="Times New Roman"/>
          <w:b/>
          <w:bCs/>
          <w:kern w:val="2"/>
          <w:sz w:val="30"/>
          <w:szCs w:val="20"/>
        </w:rPr>
        <w:t>024</w:t>
      </w:r>
      <w:r>
        <w:rPr>
          <w:rFonts w:hint="eastAsia" w:cs="Times New Roman"/>
          <w:b/>
          <w:bCs/>
          <w:kern w:val="2"/>
          <w:sz w:val="30"/>
          <w:szCs w:val="20"/>
        </w:rPr>
        <w:t>年9月</w:t>
      </w:r>
    </w:p>
    <w:p>
      <w:pPr>
        <w:widowControl w:val="0"/>
        <w:shd w:val="clear" w:color="auto" w:fill="auto"/>
        <w:tabs>
          <w:tab w:val="clear" w:pos="426"/>
        </w:tabs>
        <w:adjustRightInd/>
        <w:snapToGrid/>
        <w:spacing w:line="300" w:lineRule="auto"/>
        <w:ind w:left="298" w:leftChars="142"/>
        <w:jc w:val="center"/>
        <w:rPr>
          <w:b/>
          <w:sz w:val="32"/>
          <w:szCs w:val="32"/>
        </w:rPr>
      </w:pPr>
      <w:r>
        <w:rPr>
          <w:rFonts w:hint="eastAsia"/>
          <w:b/>
          <w:sz w:val="32"/>
          <w:szCs w:val="32"/>
        </w:rPr>
        <w:t>目      录</w:t>
      </w:r>
    </w:p>
    <w:p>
      <w:pPr>
        <w:tabs>
          <w:tab w:val="clear" w:pos="426"/>
        </w:tabs>
        <w:jc w:val="center"/>
        <w:rPr>
          <w:sz w:val="32"/>
          <w:szCs w:val="32"/>
        </w:rPr>
      </w:pPr>
    </w:p>
    <w:p>
      <w:pPr>
        <w:pStyle w:val="57"/>
        <w:tabs>
          <w:tab w:val="right" w:leader="dot" w:pos="8788"/>
          <w:tab w:val="clear" w:pos="426"/>
          <w:tab w:val="clear" w:pos="8789"/>
        </w:tabs>
        <w:spacing w:line="240" w:lineRule="auto"/>
      </w:pPr>
      <w:r>
        <w:rPr>
          <w:smallCaps w:val="0"/>
        </w:rPr>
        <w:fldChar w:fldCharType="begin"/>
      </w:r>
      <w:r>
        <w:rPr>
          <w:smallCaps w:val="0"/>
        </w:rPr>
        <w:instrText xml:space="preserve"> TOC \o "1-3" \h \z \u </w:instrText>
      </w:r>
      <w:r>
        <w:rPr>
          <w:smallCaps w:val="0"/>
        </w:rPr>
        <w:fldChar w:fldCharType="separate"/>
      </w:r>
      <w:r>
        <w:rPr>
          <w:smallCaps w:val="0"/>
        </w:rPr>
        <w:fldChar w:fldCharType="begin"/>
      </w:r>
      <w:r>
        <w:rPr>
          <w:smallCaps w:val="0"/>
        </w:rPr>
        <w:instrText xml:space="preserve"> HYPERLINK \l _Toc11771 </w:instrText>
      </w:r>
      <w:r>
        <w:rPr>
          <w:smallCaps w:val="0"/>
        </w:rPr>
        <w:fldChar w:fldCharType="separate"/>
      </w:r>
      <w:r>
        <w:rPr>
          <w:rFonts w:hint="eastAsia" w:ascii="宋体" w:hAnsi="宋体"/>
          <w:bCs w:val="0"/>
          <w:szCs w:val="36"/>
        </w:rPr>
        <w:t>资格、符合性评审条款</w:t>
      </w:r>
      <w:r>
        <w:tab/>
      </w:r>
      <w:r>
        <w:fldChar w:fldCharType="begin"/>
      </w:r>
      <w:r>
        <w:instrText xml:space="preserve"> PAGEREF _Toc11771 \h </w:instrText>
      </w:r>
      <w:r>
        <w:fldChar w:fldCharType="separate"/>
      </w:r>
      <w:r>
        <w:t>4</w:t>
      </w:r>
      <w:r>
        <w:fldChar w:fldCharType="end"/>
      </w:r>
      <w:r>
        <w:rPr>
          <w:smallCaps w:val="0"/>
        </w:rPr>
        <w:fldChar w:fldCharType="end"/>
      </w:r>
    </w:p>
    <w:p>
      <w:pPr>
        <w:pStyle w:val="57"/>
        <w:tabs>
          <w:tab w:val="right" w:leader="dot" w:pos="8788"/>
          <w:tab w:val="clear" w:pos="426"/>
          <w:tab w:val="clear" w:pos="8789"/>
        </w:tabs>
        <w:spacing w:line="240" w:lineRule="auto"/>
      </w:pPr>
      <w:r>
        <w:fldChar w:fldCharType="begin"/>
      </w:r>
      <w:r>
        <w:instrText xml:space="preserve"> HYPERLINK \l _Toc23553 </w:instrText>
      </w:r>
      <w:r>
        <w:fldChar w:fldCharType="separate"/>
      </w:r>
      <w:r>
        <w:rPr>
          <w:rFonts w:ascii="宋体" w:hAnsi="宋体"/>
          <w:bCs w:val="0"/>
          <w:szCs w:val="36"/>
        </w:rPr>
        <w:t>评标信息</w:t>
      </w:r>
      <w:r>
        <w:tab/>
      </w:r>
      <w:r>
        <w:fldChar w:fldCharType="begin"/>
      </w:r>
      <w:r>
        <w:instrText xml:space="preserve"> PAGEREF _Toc23553 \h </w:instrText>
      </w:r>
      <w:r>
        <w:fldChar w:fldCharType="separate"/>
      </w:r>
      <w:r>
        <w:t>5</w:t>
      </w:r>
      <w:r>
        <w:fldChar w:fldCharType="end"/>
      </w:r>
      <w:r>
        <w:fldChar w:fldCharType="end"/>
      </w:r>
    </w:p>
    <w:p>
      <w:pPr>
        <w:pStyle w:val="57"/>
        <w:tabs>
          <w:tab w:val="right" w:leader="dot" w:pos="8788"/>
          <w:tab w:val="clear" w:pos="426"/>
          <w:tab w:val="clear" w:pos="8789"/>
        </w:tabs>
        <w:spacing w:line="240" w:lineRule="auto"/>
      </w:pPr>
      <w:r>
        <w:fldChar w:fldCharType="begin"/>
      </w:r>
      <w:r>
        <w:instrText xml:space="preserve"> HYPERLINK \l _Toc4410 </w:instrText>
      </w:r>
      <w:r>
        <w:fldChar w:fldCharType="separate"/>
      </w:r>
      <w:r>
        <w:rPr>
          <w:rFonts w:hint="eastAsia" w:ascii="宋体" w:hAnsi="宋体"/>
          <w:bCs w:val="0"/>
          <w:szCs w:val="36"/>
        </w:rPr>
        <w:t>评分细则表</w:t>
      </w:r>
      <w:r>
        <w:tab/>
      </w:r>
      <w:r>
        <w:fldChar w:fldCharType="begin"/>
      </w:r>
      <w:r>
        <w:instrText xml:space="preserve"> PAGEREF _Toc4410 \h </w:instrText>
      </w:r>
      <w:r>
        <w:fldChar w:fldCharType="separate"/>
      </w:r>
      <w:r>
        <w:t>7</w:t>
      </w:r>
      <w:r>
        <w:fldChar w:fldCharType="end"/>
      </w:r>
      <w:r>
        <w:fldChar w:fldCharType="end"/>
      </w:r>
    </w:p>
    <w:p>
      <w:pPr>
        <w:pStyle w:val="57"/>
        <w:tabs>
          <w:tab w:val="right" w:leader="dot" w:pos="8788"/>
          <w:tab w:val="clear" w:pos="426"/>
          <w:tab w:val="clear" w:pos="8789"/>
        </w:tabs>
        <w:spacing w:line="240" w:lineRule="auto"/>
      </w:pPr>
      <w:r>
        <w:fldChar w:fldCharType="begin"/>
      </w:r>
      <w:r>
        <w:instrText xml:space="preserve"> HYPERLINK \l _Toc32161 </w:instrText>
      </w:r>
      <w:r>
        <w:fldChar w:fldCharType="separate"/>
      </w:r>
      <w:r>
        <w:rPr>
          <w:rFonts w:hint="eastAsia"/>
        </w:rPr>
        <w:t>第一册专用条款</w:t>
      </w:r>
      <w:r>
        <w:tab/>
      </w:r>
      <w:r>
        <w:fldChar w:fldCharType="begin"/>
      </w:r>
      <w:r>
        <w:instrText xml:space="preserve"> PAGEREF _Toc32161 \h </w:instrText>
      </w:r>
      <w:r>
        <w:fldChar w:fldCharType="separate"/>
      </w:r>
      <w:r>
        <w:t>11</w:t>
      </w:r>
      <w:r>
        <w:fldChar w:fldCharType="end"/>
      </w:r>
      <w:r>
        <w:fldChar w:fldCharType="end"/>
      </w:r>
    </w:p>
    <w:p>
      <w:pPr>
        <w:pStyle w:val="71"/>
        <w:tabs>
          <w:tab w:val="right" w:leader="dot" w:pos="8788"/>
          <w:tab w:val="clear" w:pos="8789"/>
        </w:tabs>
        <w:spacing w:line="240" w:lineRule="auto"/>
      </w:pPr>
      <w:r>
        <w:fldChar w:fldCharType="begin"/>
      </w:r>
      <w:r>
        <w:instrText xml:space="preserve"> HYPERLINK \l _Toc30309 </w:instrText>
      </w:r>
      <w:r>
        <w:fldChar w:fldCharType="separate"/>
      </w:r>
      <w:r>
        <w:rPr>
          <w:rFonts w:hint="eastAsia"/>
        </w:rPr>
        <w:t>第一章 招标公告</w:t>
      </w:r>
      <w:r>
        <w:tab/>
      </w:r>
      <w:r>
        <w:fldChar w:fldCharType="begin"/>
      </w:r>
      <w:r>
        <w:instrText xml:space="preserve"> PAGEREF _Toc30309 \h </w:instrText>
      </w:r>
      <w:r>
        <w:fldChar w:fldCharType="separate"/>
      </w:r>
      <w:r>
        <w:t>11</w:t>
      </w:r>
      <w:r>
        <w:fldChar w:fldCharType="end"/>
      </w:r>
      <w:r>
        <w:fldChar w:fldCharType="end"/>
      </w:r>
    </w:p>
    <w:p>
      <w:pPr>
        <w:pStyle w:val="71"/>
        <w:tabs>
          <w:tab w:val="right" w:leader="dot" w:pos="8788"/>
          <w:tab w:val="clear" w:pos="8789"/>
        </w:tabs>
        <w:spacing w:line="240" w:lineRule="auto"/>
      </w:pPr>
      <w:r>
        <w:fldChar w:fldCharType="begin"/>
      </w:r>
      <w:r>
        <w:instrText xml:space="preserve"> HYPERLINK \l _Toc27554 </w:instrText>
      </w:r>
      <w:r>
        <w:fldChar w:fldCharType="separate"/>
      </w:r>
      <w:r>
        <w:rPr>
          <w:rFonts w:hint="eastAsia"/>
        </w:rPr>
        <w:t>第二章 投标须知前附表</w:t>
      </w:r>
      <w:r>
        <w:tab/>
      </w:r>
      <w:r>
        <w:fldChar w:fldCharType="begin"/>
      </w:r>
      <w:r>
        <w:instrText xml:space="preserve"> PAGEREF _Toc27554 \h </w:instrText>
      </w:r>
      <w:r>
        <w:fldChar w:fldCharType="separate"/>
      </w:r>
      <w:r>
        <w:t>17</w:t>
      </w:r>
      <w:r>
        <w:fldChar w:fldCharType="end"/>
      </w:r>
      <w:r>
        <w:fldChar w:fldCharType="end"/>
      </w:r>
    </w:p>
    <w:p>
      <w:pPr>
        <w:pStyle w:val="71"/>
        <w:tabs>
          <w:tab w:val="right" w:leader="dot" w:pos="8788"/>
          <w:tab w:val="clear" w:pos="8789"/>
        </w:tabs>
        <w:spacing w:line="240" w:lineRule="auto"/>
      </w:pPr>
      <w:r>
        <w:fldChar w:fldCharType="begin"/>
      </w:r>
      <w:r>
        <w:instrText xml:space="preserve"> HYPERLINK \l _Toc24832 </w:instrText>
      </w:r>
      <w:r>
        <w:fldChar w:fldCharType="separate"/>
      </w:r>
      <w:r>
        <w:rPr>
          <w:rFonts w:hint="eastAsia"/>
        </w:rPr>
        <w:t>第三章 项目需求</w:t>
      </w:r>
      <w:r>
        <w:tab/>
      </w:r>
      <w:r>
        <w:fldChar w:fldCharType="begin"/>
      </w:r>
      <w:r>
        <w:instrText xml:space="preserve"> PAGEREF _Toc24832 \h </w:instrText>
      </w:r>
      <w:r>
        <w:fldChar w:fldCharType="separate"/>
      </w:r>
      <w:r>
        <w:t>18</w:t>
      </w:r>
      <w:r>
        <w:fldChar w:fldCharType="end"/>
      </w:r>
      <w:r>
        <w:fldChar w:fldCharType="end"/>
      </w:r>
    </w:p>
    <w:p>
      <w:pPr>
        <w:pStyle w:val="71"/>
        <w:tabs>
          <w:tab w:val="right" w:leader="dot" w:pos="8788"/>
          <w:tab w:val="clear" w:pos="8789"/>
        </w:tabs>
        <w:spacing w:line="240" w:lineRule="auto"/>
      </w:pPr>
      <w:r>
        <w:fldChar w:fldCharType="begin"/>
      </w:r>
      <w:r>
        <w:instrText xml:space="preserve"> HYPERLINK \l _Toc647 </w:instrText>
      </w:r>
      <w:r>
        <w:fldChar w:fldCharType="separate"/>
      </w:r>
      <w:r>
        <w:rPr>
          <w:rFonts w:hint="eastAsia"/>
        </w:rPr>
        <w:t>第四章 采购合同的签订、履约及验收</w:t>
      </w:r>
      <w:r>
        <w:tab/>
      </w:r>
      <w:r>
        <w:fldChar w:fldCharType="begin"/>
      </w:r>
      <w:r>
        <w:instrText xml:space="preserve"> PAGEREF _Toc647 \h </w:instrText>
      </w:r>
      <w:r>
        <w:fldChar w:fldCharType="separate"/>
      </w:r>
      <w:r>
        <w:t>27</w:t>
      </w:r>
      <w:r>
        <w:fldChar w:fldCharType="end"/>
      </w:r>
      <w:r>
        <w:fldChar w:fldCharType="end"/>
      </w:r>
    </w:p>
    <w:p>
      <w:pPr>
        <w:pStyle w:val="71"/>
        <w:tabs>
          <w:tab w:val="right" w:leader="dot" w:pos="8788"/>
          <w:tab w:val="clear" w:pos="8789"/>
        </w:tabs>
        <w:spacing w:line="240" w:lineRule="auto"/>
      </w:pPr>
      <w:r>
        <w:fldChar w:fldCharType="begin"/>
      </w:r>
      <w:r>
        <w:instrText xml:space="preserve"> HYPERLINK \l _Toc12353 </w:instrText>
      </w:r>
      <w:r>
        <w:fldChar w:fldCharType="separate"/>
      </w:r>
      <w:r>
        <w:rPr>
          <w:rFonts w:hint="eastAsia"/>
        </w:rPr>
        <w:t>第五章 投标文件格式、附件</w:t>
      </w:r>
      <w:r>
        <w:tab/>
      </w:r>
      <w:r>
        <w:fldChar w:fldCharType="begin"/>
      </w:r>
      <w:r>
        <w:instrText xml:space="preserve"> PAGEREF _Toc12353 \h </w:instrText>
      </w:r>
      <w:r>
        <w:fldChar w:fldCharType="separate"/>
      </w:r>
      <w:r>
        <w:t>34</w:t>
      </w:r>
      <w:r>
        <w:fldChar w:fldCharType="end"/>
      </w:r>
      <w:r>
        <w:fldChar w:fldCharType="end"/>
      </w:r>
    </w:p>
    <w:p>
      <w:pPr>
        <w:pStyle w:val="57"/>
        <w:tabs>
          <w:tab w:val="right" w:leader="dot" w:pos="8788"/>
          <w:tab w:val="clear" w:pos="426"/>
          <w:tab w:val="clear" w:pos="8789"/>
        </w:tabs>
        <w:spacing w:line="240" w:lineRule="auto"/>
      </w:pPr>
      <w:r>
        <w:fldChar w:fldCharType="begin"/>
      </w:r>
      <w:r>
        <w:instrText xml:space="preserve"> HYPERLINK \l _Toc29055 </w:instrText>
      </w:r>
      <w:r>
        <w:fldChar w:fldCharType="separate"/>
      </w:r>
      <w:r>
        <w:rPr>
          <w:rFonts w:hint="eastAsia"/>
        </w:rPr>
        <w:t>第二册通用条款</w:t>
      </w:r>
      <w:r>
        <w:tab/>
      </w:r>
      <w:r>
        <w:fldChar w:fldCharType="begin"/>
      </w:r>
      <w:r>
        <w:instrText xml:space="preserve"> PAGEREF _Toc29055 \h </w:instrText>
      </w:r>
      <w:r>
        <w:fldChar w:fldCharType="separate"/>
      </w:r>
      <w:r>
        <w:t>62</w:t>
      </w:r>
      <w:r>
        <w:fldChar w:fldCharType="end"/>
      </w:r>
      <w:r>
        <w:fldChar w:fldCharType="end"/>
      </w:r>
    </w:p>
    <w:p>
      <w:pPr>
        <w:pStyle w:val="71"/>
        <w:tabs>
          <w:tab w:val="right" w:leader="dot" w:pos="8788"/>
          <w:tab w:val="clear" w:pos="8789"/>
        </w:tabs>
        <w:spacing w:line="240" w:lineRule="auto"/>
      </w:pPr>
      <w:r>
        <w:fldChar w:fldCharType="begin"/>
      </w:r>
      <w:r>
        <w:instrText xml:space="preserve"> HYPERLINK \l _Toc29183 </w:instrText>
      </w:r>
      <w:r>
        <w:fldChar w:fldCharType="separate"/>
      </w:r>
      <w:r>
        <w:rPr>
          <w:rFonts w:hint="eastAsia"/>
        </w:rPr>
        <w:t>第一章</w:t>
      </w:r>
      <w:r>
        <w:t xml:space="preserve"> </w:t>
      </w:r>
      <w:r>
        <w:rPr>
          <w:rFonts w:hint="eastAsia"/>
        </w:rPr>
        <w:t>总则</w:t>
      </w:r>
      <w:r>
        <w:tab/>
      </w:r>
      <w:r>
        <w:fldChar w:fldCharType="begin"/>
      </w:r>
      <w:r>
        <w:instrText xml:space="preserve"> PAGEREF _Toc29183 \h </w:instrText>
      </w:r>
      <w:r>
        <w:fldChar w:fldCharType="separate"/>
      </w:r>
      <w:r>
        <w:t>62</w:t>
      </w:r>
      <w:r>
        <w:fldChar w:fldCharType="end"/>
      </w:r>
      <w:r>
        <w:fldChar w:fldCharType="end"/>
      </w:r>
    </w:p>
    <w:p>
      <w:pPr>
        <w:pStyle w:val="71"/>
        <w:tabs>
          <w:tab w:val="right" w:leader="dot" w:pos="8788"/>
          <w:tab w:val="clear" w:pos="8789"/>
        </w:tabs>
        <w:spacing w:line="240" w:lineRule="auto"/>
      </w:pPr>
      <w:r>
        <w:fldChar w:fldCharType="begin"/>
      </w:r>
      <w:r>
        <w:instrText xml:space="preserve"> HYPERLINK \l _Toc1159 </w:instrText>
      </w:r>
      <w:r>
        <w:fldChar w:fldCharType="separate"/>
      </w:r>
      <w:r>
        <w:rPr>
          <w:rFonts w:hint="eastAsia"/>
        </w:rPr>
        <w:t>第二章</w:t>
      </w:r>
      <w:r>
        <w:t xml:space="preserve"> </w:t>
      </w:r>
      <w:r>
        <w:rPr>
          <w:rFonts w:hint="eastAsia"/>
        </w:rPr>
        <w:t>招标文件</w:t>
      </w:r>
      <w:r>
        <w:tab/>
      </w:r>
      <w:r>
        <w:fldChar w:fldCharType="begin"/>
      </w:r>
      <w:r>
        <w:instrText xml:space="preserve"> PAGEREF _Toc1159 \h </w:instrText>
      </w:r>
      <w:r>
        <w:fldChar w:fldCharType="separate"/>
      </w:r>
      <w:r>
        <w:t>64</w:t>
      </w:r>
      <w:r>
        <w:fldChar w:fldCharType="end"/>
      </w:r>
      <w:r>
        <w:fldChar w:fldCharType="end"/>
      </w:r>
    </w:p>
    <w:p>
      <w:pPr>
        <w:pStyle w:val="71"/>
        <w:tabs>
          <w:tab w:val="right" w:leader="dot" w:pos="8788"/>
          <w:tab w:val="clear" w:pos="8789"/>
        </w:tabs>
        <w:spacing w:line="240" w:lineRule="auto"/>
      </w:pPr>
      <w:r>
        <w:fldChar w:fldCharType="begin"/>
      </w:r>
      <w:r>
        <w:instrText xml:space="preserve"> HYPERLINK \l _Toc32581 </w:instrText>
      </w:r>
      <w:r>
        <w:fldChar w:fldCharType="separate"/>
      </w:r>
      <w:r>
        <w:rPr>
          <w:rFonts w:hint="eastAsia"/>
        </w:rPr>
        <w:t>第三章</w:t>
      </w:r>
      <w:r>
        <w:t xml:space="preserve"> </w:t>
      </w:r>
      <w:r>
        <w:rPr>
          <w:rFonts w:hint="eastAsia"/>
        </w:rPr>
        <w:t>投标文件的编制与递交</w:t>
      </w:r>
      <w:r>
        <w:tab/>
      </w:r>
      <w:r>
        <w:fldChar w:fldCharType="begin"/>
      </w:r>
      <w:r>
        <w:instrText xml:space="preserve"> PAGEREF _Toc32581 \h </w:instrText>
      </w:r>
      <w:r>
        <w:fldChar w:fldCharType="separate"/>
      </w:r>
      <w:r>
        <w:t>66</w:t>
      </w:r>
      <w:r>
        <w:fldChar w:fldCharType="end"/>
      </w:r>
      <w:r>
        <w:fldChar w:fldCharType="end"/>
      </w:r>
    </w:p>
    <w:p>
      <w:pPr>
        <w:pStyle w:val="71"/>
        <w:tabs>
          <w:tab w:val="right" w:leader="dot" w:pos="8788"/>
          <w:tab w:val="clear" w:pos="8789"/>
        </w:tabs>
        <w:spacing w:line="240" w:lineRule="auto"/>
      </w:pPr>
      <w:r>
        <w:fldChar w:fldCharType="begin"/>
      </w:r>
      <w:r>
        <w:instrText xml:space="preserve"> HYPERLINK \l _Toc27835 </w:instrText>
      </w:r>
      <w:r>
        <w:fldChar w:fldCharType="separate"/>
      </w:r>
      <w:r>
        <w:rPr>
          <w:rFonts w:hint="eastAsia"/>
        </w:rPr>
        <w:t>第四章</w:t>
      </w:r>
      <w:r>
        <w:t xml:space="preserve"> </w:t>
      </w:r>
      <w:r>
        <w:rPr>
          <w:rFonts w:hint="eastAsia"/>
        </w:rPr>
        <w:t>开标</w:t>
      </w:r>
      <w:r>
        <w:tab/>
      </w:r>
      <w:r>
        <w:fldChar w:fldCharType="begin"/>
      </w:r>
      <w:r>
        <w:instrText xml:space="preserve"> PAGEREF _Toc27835 \h </w:instrText>
      </w:r>
      <w:r>
        <w:fldChar w:fldCharType="separate"/>
      </w:r>
      <w:r>
        <w:t>70</w:t>
      </w:r>
      <w:r>
        <w:fldChar w:fldCharType="end"/>
      </w:r>
      <w:r>
        <w:fldChar w:fldCharType="end"/>
      </w:r>
    </w:p>
    <w:p>
      <w:pPr>
        <w:pStyle w:val="71"/>
        <w:tabs>
          <w:tab w:val="right" w:leader="dot" w:pos="8788"/>
          <w:tab w:val="clear" w:pos="8789"/>
        </w:tabs>
        <w:spacing w:line="240" w:lineRule="auto"/>
      </w:pPr>
      <w:r>
        <w:fldChar w:fldCharType="begin"/>
      </w:r>
      <w:r>
        <w:instrText xml:space="preserve"> HYPERLINK \l _Toc27961 </w:instrText>
      </w:r>
      <w:r>
        <w:fldChar w:fldCharType="separate"/>
      </w:r>
      <w:r>
        <w:rPr>
          <w:rFonts w:hint="eastAsia"/>
        </w:rPr>
        <w:t>第五章</w:t>
      </w:r>
      <w:r>
        <w:t xml:space="preserve"> </w:t>
      </w:r>
      <w:r>
        <w:rPr>
          <w:rFonts w:hint="eastAsia"/>
        </w:rPr>
        <w:t>评标要求</w:t>
      </w:r>
      <w:r>
        <w:tab/>
      </w:r>
      <w:r>
        <w:fldChar w:fldCharType="begin"/>
      </w:r>
      <w:r>
        <w:instrText xml:space="preserve"> PAGEREF _Toc27961 \h </w:instrText>
      </w:r>
      <w:r>
        <w:fldChar w:fldCharType="separate"/>
      </w:r>
      <w:r>
        <w:t>71</w:t>
      </w:r>
      <w:r>
        <w:fldChar w:fldCharType="end"/>
      </w:r>
      <w:r>
        <w:fldChar w:fldCharType="end"/>
      </w:r>
    </w:p>
    <w:p>
      <w:pPr>
        <w:pStyle w:val="71"/>
        <w:tabs>
          <w:tab w:val="right" w:leader="dot" w:pos="8788"/>
          <w:tab w:val="clear" w:pos="8789"/>
        </w:tabs>
        <w:spacing w:line="240" w:lineRule="auto"/>
      </w:pPr>
      <w:r>
        <w:fldChar w:fldCharType="begin"/>
      </w:r>
      <w:r>
        <w:instrText xml:space="preserve"> HYPERLINK \l _Toc11085 </w:instrText>
      </w:r>
      <w:r>
        <w:fldChar w:fldCharType="separate"/>
      </w:r>
      <w:r>
        <w:rPr>
          <w:rFonts w:hint="eastAsia"/>
        </w:rPr>
        <w:t>第六章</w:t>
      </w:r>
      <w:r>
        <w:t xml:space="preserve"> </w:t>
      </w:r>
      <w:r>
        <w:rPr>
          <w:rFonts w:hint="eastAsia"/>
        </w:rPr>
        <w:t>评标程序及评标方法</w:t>
      </w:r>
      <w:r>
        <w:tab/>
      </w:r>
      <w:r>
        <w:fldChar w:fldCharType="begin"/>
      </w:r>
      <w:r>
        <w:instrText xml:space="preserve"> PAGEREF _Toc11085 \h </w:instrText>
      </w:r>
      <w:r>
        <w:fldChar w:fldCharType="separate"/>
      </w:r>
      <w:r>
        <w:t>71</w:t>
      </w:r>
      <w:r>
        <w:fldChar w:fldCharType="end"/>
      </w:r>
      <w:r>
        <w:fldChar w:fldCharType="end"/>
      </w:r>
    </w:p>
    <w:p>
      <w:pPr>
        <w:pStyle w:val="71"/>
        <w:tabs>
          <w:tab w:val="right" w:leader="dot" w:pos="8788"/>
          <w:tab w:val="clear" w:pos="8789"/>
        </w:tabs>
        <w:spacing w:line="240" w:lineRule="auto"/>
      </w:pPr>
      <w:r>
        <w:fldChar w:fldCharType="begin"/>
      </w:r>
      <w:r>
        <w:instrText xml:space="preserve"> HYPERLINK \l _Toc9177 </w:instrText>
      </w:r>
      <w:r>
        <w:fldChar w:fldCharType="separate"/>
      </w:r>
      <w:r>
        <w:rPr>
          <w:rFonts w:hint="eastAsia"/>
        </w:rPr>
        <w:t>第七章</w:t>
      </w:r>
      <w:r>
        <w:t xml:space="preserve"> </w:t>
      </w:r>
      <w:r>
        <w:rPr>
          <w:rFonts w:hint="eastAsia"/>
        </w:rPr>
        <w:t>定标及公示</w:t>
      </w:r>
      <w:r>
        <w:tab/>
      </w:r>
      <w:r>
        <w:fldChar w:fldCharType="begin"/>
      </w:r>
      <w:r>
        <w:instrText xml:space="preserve"> PAGEREF _Toc9177 \h </w:instrText>
      </w:r>
      <w:r>
        <w:fldChar w:fldCharType="separate"/>
      </w:r>
      <w:r>
        <w:t>75</w:t>
      </w:r>
      <w:r>
        <w:fldChar w:fldCharType="end"/>
      </w:r>
      <w:r>
        <w:fldChar w:fldCharType="end"/>
      </w:r>
    </w:p>
    <w:p>
      <w:pPr>
        <w:pStyle w:val="71"/>
        <w:tabs>
          <w:tab w:val="right" w:leader="dot" w:pos="8788"/>
          <w:tab w:val="clear" w:pos="8789"/>
        </w:tabs>
        <w:spacing w:line="240" w:lineRule="auto"/>
      </w:pPr>
      <w:r>
        <w:fldChar w:fldCharType="begin"/>
      </w:r>
      <w:r>
        <w:instrText xml:space="preserve"> HYPERLINK \l _Toc3472 </w:instrText>
      </w:r>
      <w:r>
        <w:fldChar w:fldCharType="separate"/>
      </w:r>
      <w:r>
        <w:rPr>
          <w:rFonts w:hint="eastAsia"/>
        </w:rPr>
        <w:t>第八章</w:t>
      </w:r>
      <w:r>
        <w:t xml:space="preserve"> </w:t>
      </w:r>
      <w:r>
        <w:rPr>
          <w:rFonts w:hint="eastAsia"/>
        </w:rPr>
        <w:t>公开招标失败的后续处理</w:t>
      </w:r>
      <w:r>
        <w:tab/>
      </w:r>
      <w:r>
        <w:fldChar w:fldCharType="begin"/>
      </w:r>
      <w:r>
        <w:instrText xml:space="preserve"> PAGEREF _Toc3472 \h </w:instrText>
      </w:r>
      <w:r>
        <w:fldChar w:fldCharType="separate"/>
      </w:r>
      <w:r>
        <w:t>76</w:t>
      </w:r>
      <w:r>
        <w:fldChar w:fldCharType="end"/>
      </w:r>
      <w:r>
        <w:fldChar w:fldCharType="end"/>
      </w:r>
    </w:p>
    <w:p>
      <w:pPr>
        <w:pStyle w:val="71"/>
        <w:tabs>
          <w:tab w:val="right" w:leader="dot" w:pos="8788"/>
          <w:tab w:val="clear" w:pos="8789"/>
        </w:tabs>
        <w:spacing w:line="240" w:lineRule="auto"/>
      </w:pPr>
      <w:r>
        <w:fldChar w:fldCharType="begin"/>
      </w:r>
      <w:r>
        <w:instrText xml:space="preserve"> HYPERLINK \l _Toc21323 </w:instrText>
      </w:r>
      <w:r>
        <w:fldChar w:fldCharType="separate"/>
      </w:r>
      <w:r>
        <w:rPr>
          <w:rFonts w:hint="eastAsia"/>
        </w:rPr>
        <w:t>第九章</w:t>
      </w:r>
      <w:r>
        <w:t xml:space="preserve"> </w:t>
      </w:r>
      <w:r>
        <w:rPr>
          <w:rFonts w:hint="eastAsia"/>
        </w:rPr>
        <w:t>合同的授予与备案</w:t>
      </w:r>
      <w:r>
        <w:tab/>
      </w:r>
      <w:r>
        <w:fldChar w:fldCharType="begin"/>
      </w:r>
      <w:r>
        <w:instrText xml:space="preserve"> PAGEREF _Toc21323 \h </w:instrText>
      </w:r>
      <w:r>
        <w:fldChar w:fldCharType="separate"/>
      </w:r>
      <w:r>
        <w:t>79</w:t>
      </w:r>
      <w:r>
        <w:fldChar w:fldCharType="end"/>
      </w:r>
      <w:r>
        <w:fldChar w:fldCharType="end"/>
      </w:r>
    </w:p>
    <w:p>
      <w:pPr>
        <w:pStyle w:val="71"/>
        <w:tabs>
          <w:tab w:val="right" w:leader="dot" w:pos="8788"/>
          <w:tab w:val="clear" w:pos="8789"/>
        </w:tabs>
        <w:spacing w:line="240" w:lineRule="auto"/>
      </w:pPr>
      <w:r>
        <w:fldChar w:fldCharType="begin"/>
      </w:r>
      <w:r>
        <w:instrText xml:space="preserve"> HYPERLINK \l _Toc17065 </w:instrText>
      </w:r>
      <w:r>
        <w:fldChar w:fldCharType="separate"/>
      </w:r>
      <w:r>
        <w:rPr>
          <w:rFonts w:hint="eastAsia"/>
        </w:rPr>
        <w:t>第十章</w:t>
      </w:r>
      <w:r>
        <w:t xml:space="preserve"> </w:t>
      </w:r>
      <w:r>
        <w:rPr>
          <w:rFonts w:hint="eastAsia"/>
        </w:rPr>
        <w:t>质疑受理</w:t>
      </w:r>
      <w:r>
        <w:tab/>
      </w:r>
      <w:r>
        <w:fldChar w:fldCharType="begin"/>
      </w:r>
      <w:r>
        <w:instrText xml:space="preserve"> PAGEREF _Toc17065 \h </w:instrText>
      </w:r>
      <w:r>
        <w:fldChar w:fldCharType="separate"/>
      </w:r>
      <w:r>
        <w:t>79</w:t>
      </w:r>
      <w:r>
        <w:fldChar w:fldCharType="end"/>
      </w:r>
      <w:r>
        <w:fldChar w:fldCharType="end"/>
      </w:r>
    </w:p>
    <w:p>
      <w:pPr>
        <w:pStyle w:val="57"/>
        <w:tabs>
          <w:tab w:val="right" w:leader="dot" w:pos="8788"/>
          <w:tab w:val="clear" w:pos="426"/>
          <w:tab w:val="clear" w:pos="8789"/>
        </w:tabs>
        <w:spacing w:line="240" w:lineRule="auto"/>
      </w:pPr>
      <w:r>
        <w:fldChar w:fldCharType="begin"/>
      </w:r>
      <w:r>
        <w:instrText xml:space="preserve"> HYPERLINK \l _Toc5971 </w:instrText>
      </w:r>
      <w:r>
        <w:fldChar w:fldCharType="separate"/>
      </w:r>
      <w:r>
        <w:rPr>
          <w:rFonts w:hint="eastAsia"/>
        </w:rPr>
        <w:t>招标代理服务取费说明</w:t>
      </w:r>
      <w:r>
        <w:tab/>
      </w:r>
      <w:r>
        <w:fldChar w:fldCharType="begin"/>
      </w:r>
      <w:r>
        <w:instrText xml:space="preserve"> PAGEREF _Toc5971 \h </w:instrText>
      </w:r>
      <w:r>
        <w:fldChar w:fldCharType="separate"/>
      </w:r>
      <w:r>
        <w:t>81</w:t>
      </w:r>
      <w:r>
        <w:fldChar w:fldCharType="end"/>
      </w:r>
      <w:r>
        <w:fldChar w:fldCharType="end"/>
      </w:r>
    </w:p>
    <w:p>
      <w:pPr>
        <w:spacing w:line="240" w:lineRule="auto"/>
        <w:jc w:val="center"/>
      </w:pPr>
      <w:r>
        <w:fldChar w:fldCharType="end"/>
      </w:r>
      <w:bookmarkStart w:id="0" w:name="_Toc432592808"/>
    </w:p>
    <w:p>
      <w:r>
        <w:br w:type="page"/>
      </w:r>
    </w:p>
    <w:p>
      <w:pPr>
        <w:spacing w:line="240" w:lineRule="auto"/>
        <w:jc w:val="center"/>
        <w:rPr>
          <w:sz w:val="36"/>
          <w:szCs w:val="36"/>
        </w:rPr>
      </w:pPr>
      <w:r>
        <w:rPr>
          <w:rFonts w:hint="eastAsia"/>
          <w:sz w:val="36"/>
          <w:szCs w:val="36"/>
        </w:rPr>
        <w:t>项目关键信息</w:t>
      </w:r>
      <w:bookmarkEnd w:id="0"/>
    </w:p>
    <w:tbl>
      <w:tblPr>
        <w:tblStyle w:val="8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0"/>
        <w:gridCol w:w="5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60" w:type="dxa"/>
            <w:vAlign w:val="center"/>
          </w:tcPr>
          <w:p>
            <w:pPr>
              <w:tabs>
                <w:tab w:val="clear" w:pos="426"/>
              </w:tabs>
              <w:adjustRightInd/>
              <w:snapToGrid/>
              <w:spacing w:line="240" w:lineRule="auto"/>
              <w:rPr>
                <w:szCs w:val="21"/>
              </w:rPr>
            </w:pPr>
            <w:r>
              <w:rPr>
                <w:rFonts w:hint="eastAsia"/>
                <w:szCs w:val="21"/>
              </w:rPr>
              <w:t>项目编号</w:t>
            </w:r>
          </w:p>
        </w:tc>
        <w:tc>
          <w:tcPr>
            <w:tcW w:w="5968" w:type="dxa"/>
            <w:vAlign w:val="center"/>
          </w:tcPr>
          <w:p>
            <w:pPr>
              <w:tabs>
                <w:tab w:val="clear" w:pos="426"/>
              </w:tabs>
              <w:adjustRightInd/>
              <w:snapToGrid/>
              <w:spacing w:line="240" w:lineRule="auto"/>
              <w:rPr>
                <w:szCs w:val="21"/>
              </w:rPr>
            </w:pPr>
            <w:r>
              <w:rPr>
                <w:rFonts w:hint="eastAsia"/>
                <w:szCs w:val="21"/>
              </w:rPr>
              <w:t>SSZX2024-345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60" w:type="dxa"/>
            <w:vAlign w:val="center"/>
          </w:tcPr>
          <w:p>
            <w:pPr>
              <w:tabs>
                <w:tab w:val="clear" w:pos="426"/>
              </w:tabs>
              <w:adjustRightInd/>
              <w:snapToGrid/>
              <w:spacing w:line="240" w:lineRule="auto"/>
              <w:rPr>
                <w:szCs w:val="21"/>
              </w:rPr>
            </w:pPr>
            <w:r>
              <w:rPr>
                <w:rFonts w:hint="eastAsia"/>
                <w:szCs w:val="21"/>
              </w:rPr>
              <w:t>项目名称</w:t>
            </w:r>
          </w:p>
        </w:tc>
        <w:tc>
          <w:tcPr>
            <w:tcW w:w="5968" w:type="dxa"/>
            <w:vAlign w:val="center"/>
          </w:tcPr>
          <w:p>
            <w:pPr>
              <w:tabs>
                <w:tab w:val="clear" w:pos="426"/>
              </w:tabs>
              <w:adjustRightInd/>
              <w:snapToGrid/>
              <w:spacing w:line="240" w:lineRule="auto"/>
              <w:rPr>
                <w:szCs w:val="21"/>
              </w:rPr>
            </w:pPr>
            <w:r>
              <w:rPr>
                <w:rFonts w:hint="eastAsia"/>
                <w:szCs w:val="21"/>
              </w:rPr>
              <w:t>广东省深圳市宝安区消防救援大队2024年一级站(新建站)、二级站指挥调度系统设备购置项目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60" w:type="dxa"/>
            <w:vAlign w:val="center"/>
          </w:tcPr>
          <w:p>
            <w:pPr>
              <w:tabs>
                <w:tab w:val="clear" w:pos="426"/>
              </w:tabs>
              <w:adjustRightInd/>
              <w:snapToGrid/>
              <w:spacing w:line="240" w:lineRule="auto"/>
              <w:rPr>
                <w:szCs w:val="21"/>
              </w:rPr>
            </w:pPr>
            <w:r>
              <w:rPr>
                <w:szCs w:val="21"/>
              </w:rPr>
              <w:t>项目类型</w:t>
            </w:r>
          </w:p>
        </w:tc>
        <w:tc>
          <w:tcPr>
            <w:tcW w:w="5968" w:type="dxa"/>
            <w:vAlign w:val="center"/>
          </w:tcPr>
          <w:p>
            <w:pPr>
              <w:tabs>
                <w:tab w:val="clear" w:pos="426"/>
              </w:tabs>
              <w:adjustRightInd/>
              <w:snapToGrid/>
              <w:spacing w:line="240" w:lineRule="auto"/>
              <w:rPr>
                <w:szCs w:val="21"/>
              </w:rPr>
            </w:pPr>
            <w:r>
              <w:rPr>
                <w:rFonts w:hint="eastAsia"/>
                <w:szCs w:val="21"/>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60" w:type="dxa"/>
            <w:vAlign w:val="center"/>
          </w:tcPr>
          <w:p>
            <w:pPr>
              <w:tabs>
                <w:tab w:val="clear" w:pos="426"/>
              </w:tabs>
              <w:adjustRightInd/>
              <w:snapToGrid/>
              <w:spacing w:line="240" w:lineRule="auto"/>
              <w:rPr>
                <w:szCs w:val="21"/>
              </w:rPr>
            </w:pPr>
            <w:r>
              <w:rPr>
                <w:szCs w:val="21"/>
              </w:rPr>
              <w:t>采购方式</w:t>
            </w:r>
          </w:p>
        </w:tc>
        <w:tc>
          <w:tcPr>
            <w:tcW w:w="5968" w:type="dxa"/>
            <w:vAlign w:val="center"/>
          </w:tcPr>
          <w:p>
            <w:pPr>
              <w:tabs>
                <w:tab w:val="clear" w:pos="426"/>
              </w:tabs>
              <w:adjustRightInd/>
              <w:snapToGrid/>
              <w:spacing w:line="240" w:lineRule="auto"/>
              <w:rPr>
                <w:szCs w:val="21"/>
              </w:rPr>
            </w:pPr>
            <w:r>
              <w:rPr>
                <w:rFonts w:hint="eastAsia"/>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60" w:type="dxa"/>
            <w:vAlign w:val="center"/>
          </w:tcPr>
          <w:p>
            <w:pPr>
              <w:tabs>
                <w:tab w:val="clear" w:pos="426"/>
              </w:tabs>
              <w:adjustRightInd/>
              <w:snapToGrid/>
              <w:spacing w:line="240" w:lineRule="auto"/>
              <w:rPr>
                <w:szCs w:val="21"/>
              </w:rPr>
            </w:pPr>
            <w:r>
              <w:rPr>
                <w:szCs w:val="21"/>
              </w:rPr>
              <w:t>货币类型</w:t>
            </w:r>
          </w:p>
        </w:tc>
        <w:tc>
          <w:tcPr>
            <w:tcW w:w="5968" w:type="dxa"/>
            <w:vAlign w:val="center"/>
          </w:tcPr>
          <w:p>
            <w:pPr>
              <w:tabs>
                <w:tab w:val="clear" w:pos="426"/>
              </w:tabs>
              <w:adjustRightInd/>
              <w:snapToGrid/>
              <w:spacing w:line="240" w:lineRule="auto"/>
              <w:rPr>
                <w:szCs w:val="21"/>
              </w:rPr>
            </w:pPr>
            <w:r>
              <w:rPr>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60" w:type="dxa"/>
            <w:vAlign w:val="center"/>
          </w:tcPr>
          <w:p>
            <w:pPr>
              <w:tabs>
                <w:tab w:val="clear" w:pos="426"/>
              </w:tabs>
              <w:adjustRightInd/>
              <w:snapToGrid/>
              <w:spacing w:line="240" w:lineRule="auto"/>
              <w:rPr>
                <w:szCs w:val="21"/>
              </w:rPr>
            </w:pPr>
            <w:r>
              <w:rPr>
                <w:rFonts w:hint="eastAsia"/>
                <w:szCs w:val="21"/>
              </w:rPr>
              <w:t>预算限额</w:t>
            </w:r>
          </w:p>
        </w:tc>
        <w:tc>
          <w:tcPr>
            <w:tcW w:w="5968" w:type="dxa"/>
            <w:vAlign w:val="center"/>
          </w:tcPr>
          <w:p>
            <w:pPr>
              <w:tabs>
                <w:tab w:val="clear" w:pos="426"/>
              </w:tabs>
              <w:adjustRightInd/>
              <w:snapToGrid/>
              <w:spacing w:line="240" w:lineRule="auto"/>
              <w:rPr>
                <w:bCs/>
                <w:szCs w:val="21"/>
              </w:rPr>
            </w:pPr>
            <w:r>
              <w:rPr>
                <w:rFonts w:hint="eastAsia"/>
                <w:bCs/>
                <w:szCs w:val="21"/>
              </w:rPr>
              <w:t>￥487.351000 万元（人民币肆佰捌拾柒万叁仟伍佰壹拾元整）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60" w:type="dxa"/>
            <w:vAlign w:val="center"/>
          </w:tcPr>
          <w:p>
            <w:pPr>
              <w:tabs>
                <w:tab w:val="clear" w:pos="426"/>
              </w:tabs>
              <w:adjustRightInd/>
              <w:snapToGrid/>
              <w:spacing w:line="240" w:lineRule="auto"/>
            </w:pPr>
            <w:r>
              <w:rPr>
                <w:rFonts w:hint="eastAsia"/>
              </w:rPr>
              <w:t>评定分离</w:t>
            </w:r>
          </w:p>
        </w:tc>
        <w:tc>
          <w:tcPr>
            <w:tcW w:w="5968" w:type="dxa"/>
            <w:vAlign w:val="center"/>
          </w:tcPr>
          <w:p>
            <w:pPr>
              <w:tabs>
                <w:tab w:val="clear" w:pos="426"/>
              </w:tabs>
              <w:adjustRightInd/>
              <w:snapToGrid/>
              <w:spacing w:line="240" w:lineRule="auto"/>
            </w:pPr>
            <w:r>
              <w:t>■</w:t>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560" w:type="dxa"/>
            <w:vAlign w:val="center"/>
          </w:tcPr>
          <w:p>
            <w:pPr>
              <w:tabs>
                <w:tab w:val="clear" w:pos="426"/>
              </w:tabs>
              <w:adjustRightInd/>
              <w:snapToGrid/>
              <w:spacing w:line="240" w:lineRule="auto"/>
              <w:rPr>
                <w:bCs/>
                <w:szCs w:val="21"/>
              </w:rPr>
            </w:pPr>
            <w:r>
              <w:rPr>
                <w:rFonts w:hint="eastAsia"/>
                <w:bCs/>
                <w:szCs w:val="21"/>
              </w:rPr>
              <w:t>评标方法</w:t>
            </w:r>
          </w:p>
        </w:tc>
        <w:tc>
          <w:tcPr>
            <w:tcW w:w="5968" w:type="dxa"/>
            <w:vAlign w:val="center"/>
          </w:tcPr>
          <w:p>
            <w:pPr>
              <w:tabs>
                <w:tab w:val="clear" w:pos="426"/>
              </w:tabs>
              <w:adjustRightInd/>
              <w:snapToGrid/>
              <w:spacing w:line="240" w:lineRule="auto"/>
              <w:rPr>
                <w:szCs w:val="21"/>
              </w:rPr>
            </w:pPr>
            <w:r>
              <w:t>■</w:t>
            </w:r>
            <w:r>
              <w:rPr>
                <w:rFonts w:hint="eastAsia"/>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60" w:type="dxa"/>
            <w:vAlign w:val="center"/>
          </w:tcPr>
          <w:p>
            <w:pPr>
              <w:tabs>
                <w:tab w:val="clear" w:pos="426"/>
              </w:tabs>
              <w:adjustRightInd/>
              <w:snapToGrid/>
              <w:spacing w:line="240" w:lineRule="auto"/>
              <w:rPr>
                <w:bCs/>
                <w:szCs w:val="21"/>
              </w:rPr>
            </w:pPr>
            <w:r>
              <w:rPr>
                <w:rFonts w:hint="eastAsia"/>
                <w:bCs/>
                <w:szCs w:val="21"/>
              </w:rPr>
              <w:t>定标方法</w:t>
            </w:r>
          </w:p>
        </w:tc>
        <w:tc>
          <w:tcPr>
            <w:tcW w:w="5968" w:type="dxa"/>
            <w:vAlign w:val="center"/>
          </w:tcPr>
          <w:p>
            <w:pPr>
              <w:tabs>
                <w:tab w:val="clear" w:pos="426"/>
              </w:tabs>
              <w:adjustRightInd/>
              <w:snapToGrid/>
              <w:spacing w:line="240" w:lineRule="auto"/>
              <w:rPr>
                <w:szCs w:val="21"/>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60" w:type="dxa"/>
            <w:vAlign w:val="center"/>
          </w:tcPr>
          <w:p>
            <w:pPr>
              <w:tabs>
                <w:tab w:val="clear" w:pos="426"/>
              </w:tabs>
              <w:adjustRightInd/>
              <w:snapToGrid/>
              <w:spacing w:line="240" w:lineRule="auto"/>
            </w:pPr>
            <w:r>
              <w:rPr>
                <w:rFonts w:hint="eastAsia"/>
              </w:rPr>
              <w:t>投标供应商的替代方案</w:t>
            </w:r>
          </w:p>
        </w:tc>
        <w:tc>
          <w:tcPr>
            <w:tcW w:w="5968" w:type="dxa"/>
            <w:vAlign w:val="center"/>
          </w:tcPr>
          <w:p>
            <w:pPr>
              <w:tabs>
                <w:tab w:val="clear" w:pos="426"/>
              </w:tabs>
              <w:adjustRightInd/>
              <w:snapToGrid/>
              <w:spacing w:line="240" w:lineRule="auto"/>
              <w:rPr>
                <w:u w:val="single"/>
              </w:rPr>
            </w:pPr>
            <w:r>
              <w:rPr>
                <w:rFonts w:hint="eastAsia"/>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60" w:type="dxa"/>
            <w:vAlign w:val="center"/>
          </w:tcPr>
          <w:p>
            <w:pPr>
              <w:tabs>
                <w:tab w:val="clear" w:pos="426"/>
              </w:tabs>
              <w:adjustRightInd/>
              <w:snapToGrid/>
              <w:spacing w:line="240" w:lineRule="auto"/>
            </w:pPr>
            <w:r>
              <w:rPr>
                <w:rFonts w:hint="eastAsia"/>
              </w:rPr>
              <w:t>投标有效期</w:t>
            </w:r>
          </w:p>
        </w:tc>
        <w:tc>
          <w:tcPr>
            <w:tcW w:w="5968" w:type="dxa"/>
            <w:vAlign w:val="center"/>
          </w:tcPr>
          <w:p>
            <w:pPr>
              <w:tabs>
                <w:tab w:val="clear" w:pos="426"/>
              </w:tabs>
              <w:adjustRightInd/>
              <w:snapToGrid/>
              <w:spacing w:line="240" w:lineRule="auto"/>
              <w:rPr>
                <w:szCs w:val="21"/>
              </w:rPr>
            </w:pPr>
            <w:r>
              <w:rPr>
                <w:rFonts w:hint="eastAsia"/>
                <w:szCs w:val="21"/>
              </w:rPr>
              <w:t>120天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560" w:type="dxa"/>
            <w:vAlign w:val="center"/>
          </w:tcPr>
          <w:p>
            <w:pPr>
              <w:tabs>
                <w:tab w:val="clear" w:pos="426"/>
              </w:tabs>
              <w:adjustRightInd/>
              <w:snapToGrid/>
              <w:spacing w:line="240" w:lineRule="auto"/>
            </w:pPr>
            <w:r>
              <w:rPr>
                <w:rFonts w:hint="eastAsia"/>
              </w:rPr>
              <w:t>投标保证金</w:t>
            </w:r>
          </w:p>
        </w:tc>
        <w:tc>
          <w:tcPr>
            <w:tcW w:w="5968" w:type="dxa"/>
            <w:vAlign w:val="center"/>
          </w:tcPr>
          <w:p>
            <w:pPr>
              <w:tabs>
                <w:tab w:val="clear" w:pos="426"/>
              </w:tabs>
              <w:adjustRightInd/>
              <w:snapToGrid/>
              <w:spacing w:line="240" w:lineRule="auto"/>
            </w:pPr>
            <w:r>
              <w:t>■</w:t>
            </w:r>
            <w:r>
              <w:rPr>
                <w:rFonts w:hint="eastAsia"/>
              </w:rPr>
              <w:t>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560" w:type="dxa"/>
            <w:vAlign w:val="center"/>
          </w:tcPr>
          <w:p>
            <w:pPr>
              <w:tabs>
                <w:tab w:val="clear" w:pos="426"/>
              </w:tabs>
              <w:adjustRightInd/>
              <w:snapToGrid/>
              <w:spacing w:line="240" w:lineRule="auto"/>
            </w:pPr>
            <w:r>
              <w:rPr>
                <w:rFonts w:hint="eastAsia"/>
              </w:rPr>
              <w:t>履约担保金额</w:t>
            </w:r>
          </w:p>
        </w:tc>
        <w:tc>
          <w:tcPr>
            <w:tcW w:w="5968" w:type="dxa"/>
            <w:vAlign w:val="center"/>
          </w:tcPr>
          <w:p>
            <w:pPr>
              <w:tabs>
                <w:tab w:val="clear" w:pos="426"/>
              </w:tabs>
              <w:adjustRightInd/>
              <w:snapToGrid/>
              <w:spacing w:line="240" w:lineRule="auto"/>
            </w:pPr>
            <w:r>
              <w:rPr>
                <w:rFonts w:hint="eastAsia"/>
              </w:rPr>
              <w:t>■不提交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560" w:type="dxa"/>
            <w:vAlign w:val="center"/>
          </w:tcPr>
          <w:p>
            <w:pPr>
              <w:tabs>
                <w:tab w:val="clear" w:pos="426"/>
              </w:tabs>
              <w:adjustRightInd/>
              <w:snapToGrid/>
              <w:spacing w:line="240" w:lineRule="auto"/>
            </w:pPr>
            <w:r>
              <w:rPr>
                <w:rFonts w:hint="eastAsia"/>
              </w:rPr>
              <w:t>投标文件份数</w:t>
            </w:r>
          </w:p>
        </w:tc>
        <w:tc>
          <w:tcPr>
            <w:tcW w:w="5968" w:type="dxa"/>
            <w:vAlign w:val="center"/>
          </w:tcPr>
          <w:p>
            <w:pPr>
              <w:tabs>
                <w:tab w:val="clear" w:pos="426"/>
              </w:tabs>
              <w:adjustRightInd/>
              <w:snapToGrid/>
              <w:spacing w:line="240" w:lineRule="auto"/>
            </w:pPr>
            <w:r>
              <w:rPr>
                <w:rFonts w:hint="eastAsia"/>
              </w:rPr>
              <w:t>纸质投标文件一正、四副，开标信封一份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60" w:type="dxa"/>
            <w:vAlign w:val="center"/>
          </w:tcPr>
          <w:p>
            <w:pPr>
              <w:tabs>
                <w:tab w:val="clear" w:pos="426"/>
              </w:tabs>
              <w:adjustRightInd/>
              <w:snapToGrid/>
              <w:spacing w:line="240" w:lineRule="auto"/>
            </w:pPr>
            <w:r>
              <w:rPr>
                <w:rFonts w:hint="eastAsia"/>
              </w:rPr>
              <w:t>投标文件电子档</w:t>
            </w:r>
          </w:p>
        </w:tc>
        <w:tc>
          <w:tcPr>
            <w:tcW w:w="5968" w:type="dxa"/>
            <w:vAlign w:val="center"/>
          </w:tcPr>
          <w:p>
            <w:pPr>
              <w:tabs>
                <w:tab w:val="clear" w:pos="426"/>
              </w:tabs>
              <w:adjustRightInd/>
              <w:snapToGrid/>
              <w:spacing w:line="240" w:lineRule="auto"/>
            </w:pPr>
            <w:r>
              <w:rPr>
                <w:rFonts w:hint="eastAsia"/>
              </w:rPr>
              <w:t>U盘一张（WORD及投标文件正本盖章后的彩色扫描件，</w:t>
            </w:r>
            <w:r>
              <w:t>PDF格式）</w:t>
            </w:r>
          </w:p>
        </w:tc>
      </w:tr>
    </w:tbl>
    <w:p>
      <w:pPr>
        <w:widowControl w:val="0"/>
        <w:shd w:val="clear" w:color="auto" w:fill="auto"/>
        <w:tabs>
          <w:tab w:val="clear" w:pos="426"/>
        </w:tabs>
        <w:adjustRightInd/>
        <w:snapToGrid/>
        <w:spacing w:line="240" w:lineRule="auto"/>
        <w:ind w:left="3040" w:hanging="3040" w:hangingChars="950"/>
        <w:rPr>
          <w:rFonts w:cs="Times New Roman"/>
          <w:kern w:val="2"/>
          <w:sz w:val="32"/>
          <w:szCs w:val="20"/>
        </w:rPr>
      </w:pPr>
    </w:p>
    <w:p>
      <w:pPr>
        <w:pStyle w:val="62"/>
        <w:widowControl w:val="0"/>
        <w:shd w:val="clear" w:color="auto" w:fill="auto"/>
        <w:tabs>
          <w:tab w:val="clear" w:pos="426"/>
        </w:tabs>
        <w:adjustRightInd/>
        <w:snapToGrid/>
        <w:outlineLvl w:val="0"/>
        <w:rPr>
          <w:rFonts w:ascii="宋体" w:hAnsi="宋体"/>
          <w:bCs w:val="0"/>
          <w:sz w:val="36"/>
          <w:szCs w:val="36"/>
        </w:rPr>
      </w:pPr>
      <w:r>
        <w:br w:type="page"/>
      </w:r>
      <w:bookmarkStart w:id="1" w:name="_Toc11771"/>
      <w:r>
        <w:rPr>
          <w:rFonts w:hint="eastAsia" w:ascii="宋体" w:hAnsi="宋体"/>
          <w:bCs w:val="0"/>
          <w:sz w:val="36"/>
          <w:szCs w:val="36"/>
        </w:rPr>
        <w:t>资格、符合性评审条款</w:t>
      </w:r>
      <w:bookmarkEnd w:id="1"/>
    </w:p>
    <w:p>
      <w:pPr>
        <w:tabs>
          <w:tab w:val="clear" w:pos="426"/>
        </w:tabs>
        <w:spacing w:before="231" w:beforeLines="50" w:after="231" w:afterLines="50"/>
        <w:jc w:val="center"/>
        <w:rPr>
          <w:rFonts w:ascii="黑体" w:eastAsia="黑体"/>
          <w:sz w:val="28"/>
          <w:szCs w:val="28"/>
        </w:rPr>
      </w:pPr>
      <w:r>
        <w:rPr>
          <w:rFonts w:hint="eastAsia"/>
          <w:b/>
        </w:rPr>
        <w:t>（凡有下列情形之一的，投标文件无效，投标作无效标处理</w:t>
      </w:r>
      <w:r>
        <w:rPr>
          <w:rFonts w:hint="eastAsia" w:ascii="黑体" w:eastAsia="黑体"/>
          <w:szCs w:val="21"/>
        </w:rPr>
        <w:t>）</w:t>
      </w:r>
    </w:p>
    <w:tbl>
      <w:tblPr>
        <w:tblStyle w:val="8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7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45" w:type="dxa"/>
            <w:vAlign w:val="center"/>
          </w:tcPr>
          <w:p>
            <w:pPr>
              <w:tabs>
                <w:tab w:val="clear" w:pos="426"/>
              </w:tabs>
              <w:adjustRightInd/>
              <w:snapToGrid/>
              <w:spacing w:line="240" w:lineRule="auto"/>
              <w:jc w:val="center"/>
              <w:rPr>
                <w:b/>
              </w:rPr>
            </w:pPr>
            <w:r>
              <w:rPr>
                <w:rFonts w:hint="eastAsia"/>
                <w:b/>
              </w:rPr>
              <w:t>序号</w:t>
            </w:r>
          </w:p>
        </w:tc>
        <w:tc>
          <w:tcPr>
            <w:tcW w:w="7883" w:type="dxa"/>
            <w:vAlign w:val="center"/>
          </w:tcPr>
          <w:p>
            <w:pPr>
              <w:tabs>
                <w:tab w:val="clear" w:pos="426"/>
              </w:tabs>
              <w:adjustRightInd/>
              <w:snapToGrid/>
              <w:spacing w:line="240" w:lineRule="auto"/>
              <w:jc w:val="center"/>
              <w:rPr>
                <w:b/>
              </w:rPr>
            </w:pPr>
            <w:r>
              <w:rPr>
                <w:rFonts w:hint="eastAsia"/>
                <w:b/>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528" w:type="dxa"/>
            <w:gridSpan w:val="2"/>
            <w:vAlign w:val="center"/>
          </w:tcPr>
          <w:p>
            <w:pPr>
              <w:tabs>
                <w:tab w:val="clear" w:pos="426"/>
              </w:tabs>
              <w:adjustRightInd/>
              <w:snapToGrid/>
              <w:spacing w:line="240" w:lineRule="auto"/>
              <w:jc w:val="center"/>
              <w:rPr>
                <w:b/>
              </w:rPr>
            </w:pPr>
            <w:r>
              <w:rPr>
                <w:rFonts w:hint="eastAsia"/>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45" w:type="dxa"/>
            <w:vAlign w:val="center"/>
          </w:tcPr>
          <w:p>
            <w:pPr>
              <w:numPr>
                <w:ilvl w:val="0"/>
                <w:numId w:val="1"/>
              </w:numPr>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投标供应商具备招标资质要求，且提交相应资质证明材料；(详见招标公告“申请人的资格要求”，其中未列示的资质要求不得导致投标无效。)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jc w:val="center"/>
        </w:trPr>
        <w:tc>
          <w:tcPr>
            <w:tcW w:w="8528" w:type="dxa"/>
            <w:gridSpan w:val="2"/>
            <w:vAlign w:val="center"/>
          </w:tcPr>
          <w:p>
            <w:pPr>
              <w:tabs>
                <w:tab w:val="clear" w:pos="426"/>
              </w:tabs>
              <w:adjustRightInd/>
              <w:snapToGrid/>
              <w:spacing w:line="240" w:lineRule="auto"/>
              <w:jc w:val="center"/>
            </w:pPr>
            <w:r>
              <w:rPr>
                <w:rFonts w:hint="eastAsia"/>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45" w:type="dxa"/>
            <w:vAlign w:val="center"/>
          </w:tcPr>
          <w:p>
            <w:pPr>
              <w:widowControl w:val="0"/>
              <w:numPr>
                <w:ilvl w:val="0"/>
                <w:numId w:val="2"/>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将一个包或一个标段的内容拆开投标；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45" w:type="dxa"/>
            <w:vAlign w:val="center"/>
          </w:tcPr>
          <w:p>
            <w:pPr>
              <w:widowControl w:val="0"/>
              <w:numPr>
                <w:ilvl w:val="0"/>
                <w:numId w:val="2"/>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投标文件及开标一览表未按招标文件规定密封、签字、盖章；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45" w:type="dxa"/>
            <w:vAlign w:val="center"/>
          </w:tcPr>
          <w:p>
            <w:pPr>
              <w:widowControl w:val="0"/>
              <w:numPr>
                <w:ilvl w:val="0"/>
                <w:numId w:val="2"/>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对同一项目投标时，提供两套以上的投标方案（招标文件另有规定的除外）；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45" w:type="dxa"/>
            <w:vAlign w:val="center"/>
          </w:tcPr>
          <w:p>
            <w:pPr>
              <w:widowControl w:val="0"/>
              <w:numPr>
                <w:ilvl w:val="0"/>
                <w:numId w:val="2"/>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未按照招标文件规定要求签署、盖章或投标文件没有法定代表人签字，或签字人没有法定代表人有效授权书的；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45" w:type="dxa"/>
            <w:vAlign w:val="center"/>
          </w:tcPr>
          <w:p>
            <w:pPr>
              <w:widowControl w:val="0"/>
              <w:numPr>
                <w:ilvl w:val="0"/>
                <w:numId w:val="2"/>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未按招标文件所提供的样式填写</w:t>
            </w:r>
            <w:r>
              <w:t>《</w:t>
            </w:r>
            <w:r>
              <w:rPr>
                <w:rFonts w:hint="eastAsia"/>
              </w:rPr>
              <w:t>投标函》；未按招标文件所提供的《政府采购投标及履约承诺函》进行承诺；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45" w:type="dxa"/>
            <w:vAlign w:val="center"/>
          </w:tcPr>
          <w:p>
            <w:pPr>
              <w:widowControl w:val="0"/>
              <w:numPr>
                <w:ilvl w:val="0"/>
                <w:numId w:val="2"/>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投标总价或分项报价高于预算限额（最高投标限价）；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45" w:type="dxa"/>
            <w:vAlign w:val="center"/>
          </w:tcPr>
          <w:p>
            <w:pPr>
              <w:widowControl w:val="0"/>
              <w:numPr>
                <w:ilvl w:val="0"/>
                <w:numId w:val="2"/>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t>同一项目出现两个及以上报价，且按规定无法确定哪个是有效报价；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45" w:type="dxa"/>
            <w:vAlign w:val="center"/>
          </w:tcPr>
          <w:p>
            <w:pPr>
              <w:widowControl w:val="0"/>
              <w:numPr>
                <w:ilvl w:val="0"/>
                <w:numId w:val="2"/>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45" w:type="dxa"/>
            <w:vAlign w:val="center"/>
          </w:tcPr>
          <w:p>
            <w:pPr>
              <w:widowControl w:val="0"/>
              <w:numPr>
                <w:ilvl w:val="0"/>
                <w:numId w:val="2"/>
              </w:numPr>
              <w:shd w:val="clear" w:color="auto" w:fill="auto"/>
              <w:tabs>
                <w:tab w:val="clear" w:pos="426"/>
              </w:tabs>
              <w:adjustRightInd/>
              <w:snapToGrid/>
              <w:spacing w:line="240" w:lineRule="auto"/>
              <w:ind w:left="0" w:firstLine="0"/>
              <w:jc w:val="center"/>
            </w:pPr>
            <w:bookmarkStart w:id="2" w:name="OLE_LINK49" w:colFirst="1" w:colLast="1"/>
          </w:p>
        </w:tc>
        <w:tc>
          <w:tcPr>
            <w:tcW w:w="7883" w:type="dxa"/>
            <w:vAlign w:val="center"/>
          </w:tcPr>
          <w:p>
            <w:pPr>
              <w:tabs>
                <w:tab w:val="clear" w:pos="426"/>
              </w:tabs>
              <w:adjustRightInd/>
              <w:snapToGrid/>
              <w:spacing w:line="240" w:lineRule="auto"/>
              <w:rPr>
                <w:highlight w:val="none"/>
              </w:rPr>
            </w:pPr>
            <w:r>
              <w:rPr>
                <w:rFonts w:hint="eastAsia"/>
                <w:highlight w:val="none"/>
              </w:rPr>
              <w:t>投标文件载明的交货期超过招标文件规定的期限；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45" w:type="dxa"/>
            <w:vAlign w:val="center"/>
          </w:tcPr>
          <w:p>
            <w:pPr>
              <w:widowControl w:val="0"/>
              <w:numPr>
                <w:ilvl w:val="0"/>
                <w:numId w:val="2"/>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rPr>
                <w:highlight w:val="none"/>
              </w:rPr>
            </w:pPr>
            <w:r>
              <w:rPr>
                <w:rFonts w:hint="eastAsia"/>
                <w:highlight w:val="none"/>
              </w:rPr>
              <w:t>投标文件载明的免费保修期低于招标文件规定的期限；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45" w:type="dxa"/>
            <w:vAlign w:val="center"/>
          </w:tcPr>
          <w:p>
            <w:pPr>
              <w:widowControl w:val="0"/>
              <w:numPr>
                <w:ilvl w:val="0"/>
                <w:numId w:val="2"/>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所投产品、工程、服务在商务、技术等方面没有实质性满足招标文件要求的（是否实质性满足招标文件要求，由评标委员会根据《实质性响应条款偏离表》做出评判；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45" w:type="dxa"/>
            <w:vAlign w:val="center"/>
          </w:tcPr>
          <w:p>
            <w:pPr>
              <w:widowControl w:val="0"/>
              <w:numPr>
                <w:ilvl w:val="0"/>
                <w:numId w:val="2"/>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ascii="Times New Roman" w:hAnsi="Times New Roman" w:cs="Times New Roman"/>
              </w:rPr>
              <w:t>投标报价有严重缺漏项目或对招标文件规定的服务清单项目及数量进行修改</w:t>
            </w:r>
            <w:r>
              <w:rPr>
                <w:rFonts w:hint="eastAsia"/>
              </w:rPr>
              <w:t>或采购标的响应不全；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45" w:type="dxa"/>
            <w:vAlign w:val="center"/>
          </w:tcPr>
          <w:p>
            <w:pPr>
              <w:widowControl w:val="0"/>
              <w:numPr>
                <w:ilvl w:val="0"/>
                <w:numId w:val="2"/>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rPr>
                <w:highlight w:val="none"/>
              </w:rPr>
            </w:pPr>
            <w:r>
              <w:rPr>
                <w:rFonts w:hint="eastAsia"/>
                <w:highlight w:val="none"/>
              </w:rPr>
              <w:t>《技术规格偏离表》或《商务需求偏离表》填写不全、不明或不实；</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45" w:type="dxa"/>
            <w:vAlign w:val="center"/>
          </w:tcPr>
          <w:p>
            <w:pPr>
              <w:widowControl w:val="0"/>
              <w:numPr>
                <w:ilvl w:val="0"/>
                <w:numId w:val="2"/>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投标文件存在招标文件中规定的其它无效投标条款的；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 w:hRule="atLeast"/>
          <w:jc w:val="center"/>
        </w:trPr>
        <w:tc>
          <w:tcPr>
            <w:tcW w:w="645" w:type="dxa"/>
            <w:vAlign w:val="center"/>
          </w:tcPr>
          <w:p>
            <w:pPr>
              <w:widowControl w:val="0"/>
              <w:numPr>
                <w:ilvl w:val="0"/>
                <w:numId w:val="2"/>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法律、法规规定的属于投标无效的其他情形。</w:t>
            </w:r>
          </w:p>
        </w:tc>
      </w:tr>
    </w:tbl>
    <w:p>
      <w:pPr>
        <w:pStyle w:val="62"/>
        <w:widowControl w:val="0"/>
        <w:shd w:val="clear" w:color="auto" w:fill="auto"/>
        <w:tabs>
          <w:tab w:val="clear" w:pos="426"/>
        </w:tabs>
        <w:adjustRightInd/>
        <w:snapToGrid/>
        <w:outlineLvl w:val="0"/>
        <w:rPr>
          <w:rFonts w:ascii="宋体" w:hAnsi="宋体"/>
          <w:bCs w:val="0"/>
          <w:sz w:val="36"/>
          <w:szCs w:val="36"/>
        </w:rPr>
      </w:pPr>
      <w:r>
        <w:rPr>
          <w:sz w:val="24"/>
        </w:rPr>
        <w:br w:type="page"/>
      </w:r>
      <w:bookmarkStart w:id="3" w:name="_Toc23553"/>
      <w:bookmarkStart w:id="4" w:name="_Toc435514846"/>
      <w:r>
        <w:rPr>
          <w:rFonts w:ascii="宋体" w:hAnsi="宋体"/>
          <w:bCs w:val="0"/>
          <w:sz w:val="36"/>
          <w:szCs w:val="36"/>
        </w:rPr>
        <w:t>评标信息</w:t>
      </w:r>
      <w:bookmarkEnd w:id="3"/>
    </w:p>
    <w:bookmarkEnd w:id="4"/>
    <w:p>
      <w:pPr>
        <w:widowControl w:val="0"/>
        <w:shd w:val="clear" w:color="auto" w:fill="auto"/>
        <w:tabs>
          <w:tab w:val="clear" w:pos="426"/>
        </w:tabs>
        <w:adjustRightInd/>
        <w:snapToGrid/>
        <w:spacing w:line="300" w:lineRule="auto"/>
        <w:ind w:firstLine="422" w:firstLineChars="200"/>
        <w:rPr>
          <w:b/>
          <w:szCs w:val="21"/>
        </w:rPr>
      </w:pPr>
      <w:r>
        <w:rPr>
          <w:rFonts w:hint="eastAsia"/>
          <w:b/>
          <w:szCs w:val="21"/>
        </w:rPr>
        <w:t>本招标文件所述评标方法和定标方法与招标文件《通用条款》所述不一致之处，以以下方法为准。</w:t>
      </w:r>
    </w:p>
    <w:p>
      <w:pPr>
        <w:widowControl w:val="0"/>
        <w:shd w:val="clear" w:color="auto" w:fill="auto"/>
        <w:tabs>
          <w:tab w:val="clear" w:pos="426"/>
        </w:tabs>
        <w:adjustRightInd/>
        <w:snapToGrid/>
        <w:spacing w:line="300" w:lineRule="auto"/>
        <w:ind w:firstLine="420" w:firstLineChars="200"/>
        <w:rPr>
          <w:b/>
          <w:szCs w:val="21"/>
        </w:rPr>
      </w:pPr>
      <w:r>
        <w:rPr>
          <w:rFonts w:hint="eastAsia"/>
        </w:rPr>
        <w:t>一、</w:t>
      </w:r>
      <w:r>
        <w:t>本项目</w:t>
      </w:r>
      <w:r>
        <w:rPr>
          <w:rFonts w:hint="eastAsia"/>
        </w:rPr>
        <w:t>评标方法为</w:t>
      </w:r>
      <w:r>
        <w:t>：</w:t>
      </w:r>
      <w:r>
        <w:rPr>
          <w:rFonts w:hint="eastAsia"/>
        </w:rPr>
        <w:t>综合评分法</w:t>
      </w:r>
    </w:p>
    <w:p>
      <w:pPr>
        <w:widowControl w:val="0"/>
        <w:shd w:val="clear" w:color="auto" w:fill="auto"/>
        <w:tabs>
          <w:tab w:val="clear" w:pos="426"/>
        </w:tabs>
        <w:adjustRightInd/>
        <w:snapToGrid/>
        <w:spacing w:line="300" w:lineRule="auto"/>
        <w:ind w:firstLine="422" w:firstLineChars="200"/>
        <w:rPr>
          <w:b/>
          <w:szCs w:val="21"/>
        </w:rPr>
      </w:pPr>
      <w:r>
        <w:rPr>
          <w:b/>
        </w:rPr>
        <w:t>中标人数量为：1家</w:t>
      </w:r>
      <w:r>
        <w:rPr>
          <w:rFonts w:hint="eastAsia"/>
          <w:b/>
        </w:rPr>
        <w:t>；中标候选人数量为：3家。</w:t>
      </w:r>
    </w:p>
    <w:p>
      <w:pPr>
        <w:tabs>
          <w:tab w:val="clear" w:pos="426"/>
        </w:tabs>
        <w:spacing w:line="300" w:lineRule="auto"/>
        <w:ind w:firstLine="420" w:firstLineChars="200"/>
      </w:pPr>
      <w:r>
        <w:rPr>
          <w:rFonts w:hint="eastAsia"/>
        </w:rPr>
        <w:t>综合评分法，是指投标文件满足招标文件全部实质性要求，且按照评审因素的量化指标评审得分最高的投标人为候选中标人的评标方法。</w:t>
      </w:r>
    </w:p>
    <w:p>
      <w:pPr>
        <w:tabs>
          <w:tab w:val="clear" w:pos="426"/>
        </w:tabs>
        <w:spacing w:line="300" w:lineRule="auto"/>
        <w:ind w:firstLine="420" w:firstLineChars="200"/>
      </w:pPr>
      <w:r>
        <w:rPr>
          <w:rFonts w:hint="eastAsia"/>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w:t>
      </w:r>
      <w:r>
        <w:rPr>
          <w:rFonts w:hint="eastAsia"/>
          <w:b/>
        </w:rPr>
        <w:t>评审总得分最高的前三名投标人将被推荐为中标候选人，并作出评审结论。经采购人同意后，确定排名第一的中标候选人为中标人</w:t>
      </w:r>
      <w:r>
        <w:rPr>
          <w:rFonts w:hint="eastAsia"/>
        </w:rPr>
        <w:t>。</w:t>
      </w:r>
    </w:p>
    <w:p>
      <w:pPr>
        <w:tabs>
          <w:tab w:val="clear" w:pos="426"/>
        </w:tabs>
        <w:spacing w:line="300" w:lineRule="auto"/>
        <w:ind w:firstLine="420" w:firstLineChars="200"/>
        <w:rPr>
          <w:rFonts w:cs="Times New Roman"/>
          <w:bCs/>
          <w:kern w:val="2"/>
          <w:szCs w:val="21"/>
        </w:rPr>
      </w:pPr>
      <w:r>
        <w:rPr>
          <w:rFonts w:hint="eastAsia"/>
          <w:szCs w:val="21"/>
        </w:rPr>
        <w:t>候选中标人按评审后得分由高到低顺序排列；得分相同的，按投标报价由低到高顺序排列；得分且投标报价相同的，按技术指标或服务方案优劣顺序排列；排列第一名的投标人获得候选中标人推荐资格。得分且投标报价相同的且技术指标或服务方案优劣相同的，</w:t>
      </w:r>
      <w:r>
        <w:rPr>
          <w:rFonts w:cs="Times New Roman"/>
          <w:bCs/>
          <w:kern w:val="2"/>
          <w:szCs w:val="21"/>
        </w:rPr>
        <w:t>采取随机抽取方式确定</w:t>
      </w:r>
      <w:r>
        <w:rPr>
          <w:rFonts w:hint="eastAsia" w:cs="Times New Roman"/>
          <w:bCs/>
          <w:kern w:val="2"/>
          <w:szCs w:val="21"/>
        </w:rPr>
        <w:t>候选中标人</w:t>
      </w:r>
      <w:r>
        <w:rPr>
          <w:rFonts w:cs="Times New Roman"/>
          <w:bCs/>
          <w:kern w:val="2"/>
          <w:szCs w:val="21"/>
        </w:rPr>
        <w:t>推荐资格</w:t>
      </w:r>
      <w:r>
        <w:rPr>
          <w:rFonts w:hint="eastAsia" w:cs="Times New Roman"/>
          <w:bCs/>
          <w:kern w:val="2"/>
          <w:szCs w:val="21"/>
        </w:rPr>
        <w:t>。</w:t>
      </w:r>
    </w:p>
    <w:p>
      <w:pPr>
        <w:tabs>
          <w:tab w:val="clear" w:pos="426"/>
        </w:tabs>
        <w:spacing w:line="300" w:lineRule="auto"/>
        <w:ind w:firstLine="420" w:firstLineChars="200"/>
      </w:pPr>
      <w:r>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作出报价合理性说明，以及书面说明是否采纳等判断不一致的，按照“少数服从多数”的原则确定评审委员会的意见）。</w:t>
      </w:r>
    </w:p>
    <w:p>
      <w:pPr>
        <w:tabs>
          <w:tab w:val="clear" w:pos="426"/>
        </w:tabs>
        <w:spacing w:line="300" w:lineRule="auto"/>
        <w:ind w:firstLine="422" w:firstLineChars="200"/>
        <w:rPr>
          <w:b/>
        </w:rPr>
      </w:pPr>
      <w:r>
        <w:rPr>
          <w:rFonts w:hint="eastAsia"/>
          <w:b/>
        </w:rPr>
        <w:t>二、</w:t>
      </w:r>
      <w:r>
        <w:rPr>
          <w:b/>
        </w:rPr>
        <w:t>价格分计算方法</w:t>
      </w:r>
    </w:p>
    <w:p>
      <w:pPr>
        <w:tabs>
          <w:tab w:val="clear" w:pos="426"/>
        </w:tabs>
        <w:spacing w:line="300" w:lineRule="auto"/>
        <w:ind w:firstLine="420" w:firstLineChars="200"/>
      </w:pPr>
      <w:r>
        <w:t>满足招标文件要求且投标价格最低的投标报价为评标基准价，其价格分为满分。其他投标人的价格分统一按照下列公式计算：</w:t>
      </w:r>
    </w:p>
    <w:p>
      <w:pPr>
        <w:tabs>
          <w:tab w:val="clear" w:pos="426"/>
        </w:tabs>
        <w:spacing w:line="300" w:lineRule="auto"/>
        <w:ind w:firstLine="420" w:firstLineChars="200"/>
      </w:pPr>
      <w:r>
        <w:t>投标报价得分=(评标基准价／投标报价)×30</w:t>
      </w:r>
    </w:p>
    <w:p>
      <w:pPr>
        <w:tabs>
          <w:tab w:val="clear" w:pos="426"/>
        </w:tabs>
        <w:spacing w:line="300" w:lineRule="auto"/>
        <w:ind w:firstLine="422" w:firstLineChars="200"/>
        <w:rPr>
          <w:b/>
        </w:rPr>
      </w:pPr>
      <w:r>
        <w:rPr>
          <w:rFonts w:hint="eastAsia"/>
          <w:b/>
        </w:rPr>
        <w:t>三、评标优惠政策</w:t>
      </w:r>
    </w:p>
    <w:p>
      <w:pPr>
        <w:tabs>
          <w:tab w:val="clear" w:pos="426"/>
        </w:tabs>
        <w:spacing w:line="300" w:lineRule="auto"/>
        <w:ind w:firstLine="420" w:firstLineChars="200"/>
      </w:pPr>
      <w:r>
        <w:rPr>
          <w:rFonts w:hint="eastAsia"/>
        </w:rPr>
        <w:t>1</w:t>
      </w:r>
      <w:r>
        <w:t>.</w:t>
      </w:r>
      <w:r>
        <w:rPr>
          <w:rFonts w:hint="eastAsia"/>
        </w:rPr>
        <w:t>本项目</w:t>
      </w:r>
      <w:bookmarkStart w:id="5" w:name="OLE_LINK54"/>
      <w:r>
        <w:rPr>
          <w:rFonts w:hint="eastAsia"/>
        </w:rPr>
        <w:t>预留预算总额的</w:t>
      </w:r>
      <w:r>
        <w:rPr>
          <w:rFonts w:hint="eastAsia"/>
          <w:lang w:val="en-US" w:eastAsia="zh-CN"/>
        </w:rPr>
        <w:t>3</w:t>
      </w:r>
      <w:r>
        <w:t>0%专门面向中小企业采购，获得采</w:t>
      </w:r>
      <w:bookmarkStart w:id="6" w:name="OLE_LINK51"/>
      <w:r>
        <w:t>购合同的供应商将采购项目中的</w:t>
      </w:r>
      <w:r>
        <w:rPr>
          <w:rFonts w:hint="eastAsia"/>
          <w:lang w:val="en-US" w:eastAsia="zh-CN"/>
        </w:rPr>
        <w:t>3</w:t>
      </w:r>
      <w:r>
        <w:t>0%分包给一家或者多家中小</w:t>
      </w:r>
      <w:bookmarkEnd w:id="6"/>
      <w:r>
        <w:t>企业</w:t>
      </w:r>
      <w:bookmarkEnd w:id="5"/>
      <w:r>
        <w:t>。</w:t>
      </w:r>
      <w:r>
        <w:rPr>
          <w:rFonts w:hint="eastAsia"/>
        </w:rPr>
        <w:t>采购标的对应的中小企业划分标准所属行业：软件和信息技术服务业。</w:t>
      </w:r>
    </w:p>
    <w:p>
      <w:pPr>
        <w:tabs>
          <w:tab w:val="clear" w:pos="426"/>
        </w:tabs>
        <w:spacing w:line="300" w:lineRule="auto"/>
        <w:ind w:firstLine="420" w:firstLineChars="200"/>
        <w:rPr>
          <w:szCs w:val="21"/>
        </w:rPr>
      </w:pPr>
      <w:r>
        <w:t>2.</w:t>
      </w:r>
      <w:r>
        <w:rPr>
          <w:rFonts w:hint="eastAsia"/>
        </w:rPr>
        <w:t>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投标供应商企业类型声明函》、《残疾人福利性单位声明函》或省级以上监狱管理局、戒毒管理局（含新疆生产建设兵团）出具的属于监狱企业的证明文件的投标供应商：(1)若投标人不分包，须自身为货物制造商</w:t>
      </w:r>
      <w:r>
        <w:rPr>
          <w:rFonts w:hint="eastAsia"/>
          <w:lang w:eastAsia="zh-CN"/>
        </w:rPr>
        <w:t>、</w:t>
      </w:r>
      <w:r>
        <w:rPr>
          <w:rFonts w:hint="eastAsia"/>
        </w:rPr>
        <w:t>小微企业，提供《中小企业声明函》。(2)若投标人分包的，须提供《分包意问协议》(格式仅供参考，需加盖投标人与各分包承担主体的公章，并在协议中明确各方的合同全额比例，要求由中小微企业承担的合同金额比例符合预留份额的比例要求)，且须提供《中小企业声明函》。对于同时属于小微企业、监狱企业或残疾人福利性单位的，不重复进行投标报价扣除。如有其它政策支持因素（如鼓励创新等）需一并列出</w:t>
      </w:r>
      <w:r>
        <w:rPr>
          <w:rFonts w:hint="eastAsia"/>
          <w:szCs w:val="21"/>
        </w:rPr>
        <w:t>。</w:t>
      </w:r>
    </w:p>
    <w:p>
      <w:pPr>
        <w:tabs>
          <w:tab w:val="clear" w:pos="426"/>
        </w:tabs>
        <w:spacing w:line="300" w:lineRule="auto"/>
        <w:ind w:firstLine="420" w:firstLineChars="200"/>
        <w:rPr>
          <w:szCs w:val="21"/>
        </w:rPr>
      </w:pPr>
      <w:r>
        <w:rPr>
          <w:rFonts w:hint="eastAsia"/>
          <w:szCs w:val="21"/>
        </w:rPr>
        <w:t>四、</w:t>
      </w:r>
      <w:r>
        <w:rPr>
          <w:szCs w:val="21"/>
        </w:rPr>
        <w:t>评标专家应对通过投标文件初审进入评标程序的投标文件先评技术标、再评商务标；</w:t>
      </w:r>
    </w:p>
    <w:p>
      <w:pPr>
        <w:tabs>
          <w:tab w:val="clear" w:pos="426"/>
        </w:tabs>
        <w:spacing w:line="300" w:lineRule="auto"/>
        <w:ind w:firstLine="420" w:firstLineChars="200"/>
        <w:rPr>
          <w:szCs w:val="21"/>
        </w:rPr>
      </w:pPr>
      <w:r>
        <w:rPr>
          <w:rFonts w:hint="eastAsia"/>
          <w:szCs w:val="21"/>
        </w:rPr>
        <w:t>五、</w:t>
      </w:r>
      <w:r>
        <w:rPr>
          <w:szCs w:val="21"/>
        </w:rPr>
        <w:t>评标专家需按招标文件规定的评审标准对投标</w:t>
      </w:r>
      <w:r>
        <w:rPr>
          <w:rFonts w:hint="eastAsia"/>
          <w:szCs w:val="21"/>
        </w:rPr>
        <w:t>供应商</w:t>
      </w:r>
      <w:r>
        <w:rPr>
          <w:szCs w:val="21"/>
        </w:rPr>
        <w:t>提交的投标文件进行评审，投标文件中与评审标准无关的内容不作为评审内容</w:t>
      </w:r>
      <w:r>
        <w:rPr>
          <w:rFonts w:hint="eastAsia"/>
          <w:szCs w:val="21"/>
        </w:rPr>
        <w:t>。</w:t>
      </w:r>
    </w:p>
    <w:p>
      <w:pPr>
        <w:tabs>
          <w:tab w:val="clear" w:pos="426"/>
        </w:tabs>
        <w:spacing w:line="300" w:lineRule="auto"/>
        <w:ind w:firstLine="420" w:firstLineChars="200"/>
        <w:rPr>
          <w:rFonts w:hint="eastAsia"/>
          <w:szCs w:val="21"/>
        </w:rPr>
      </w:pPr>
      <w:r>
        <w:rPr>
          <w:rFonts w:hint="eastAsia"/>
          <w:szCs w:val="21"/>
        </w:rPr>
        <w:t>六、评标委员会在评标时，应按照以下量化的评审因素，对各投标文件进行分析和比较：</w:t>
      </w:r>
    </w:p>
    <w:p>
      <w:pPr>
        <w:rPr>
          <w:rFonts w:hint="eastAsia"/>
          <w:szCs w:val="21"/>
        </w:rPr>
      </w:pPr>
      <w:r>
        <w:rPr>
          <w:rFonts w:hint="eastAsia"/>
          <w:szCs w:val="21"/>
        </w:rPr>
        <w:br w:type="page"/>
      </w:r>
    </w:p>
    <w:p>
      <w:pPr>
        <w:pStyle w:val="62"/>
        <w:widowControl w:val="0"/>
        <w:shd w:val="clear" w:color="auto" w:fill="auto"/>
        <w:tabs>
          <w:tab w:val="clear" w:pos="426"/>
        </w:tabs>
        <w:adjustRightInd/>
        <w:snapToGrid/>
        <w:outlineLvl w:val="0"/>
        <w:rPr>
          <w:rFonts w:hint="eastAsia" w:ascii="宋体" w:hAnsi="宋体"/>
          <w:bCs w:val="0"/>
          <w:sz w:val="36"/>
          <w:szCs w:val="36"/>
        </w:rPr>
      </w:pPr>
      <w:bookmarkStart w:id="7" w:name="_Toc4410"/>
      <w:r>
        <w:rPr>
          <w:rFonts w:hint="eastAsia" w:ascii="宋体" w:hAnsi="宋体"/>
          <w:bCs w:val="0"/>
          <w:sz w:val="36"/>
          <w:szCs w:val="36"/>
        </w:rPr>
        <w:t>评分细则表</w:t>
      </w:r>
      <w:bookmarkEnd w:id="7"/>
    </w:p>
    <w:tbl>
      <w:tblPr>
        <w:tblStyle w:val="8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549"/>
        <w:gridCol w:w="1934"/>
        <w:gridCol w:w="844"/>
        <w:gridCol w:w="712"/>
        <w:gridCol w:w="4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pct"/>
            <w:vAlign w:val="center"/>
          </w:tcPr>
          <w:p>
            <w:pPr>
              <w:keepNext/>
              <w:widowControl w:val="0"/>
              <w:adjustRightInd/>
              <w:snapToGrid/>
              <w:spacing w:line="240" w:lineRule="auto"/>
              <w:jc w:val="center"/>
              <w:rPr>
                <w:szCs w:val="21"/>
              </w:rPr>
            </w:pPr>
            <w:bookmarkStart w:id="8" w:name="OLE_LINK19"/>
            <w:bookmarkStart w:id="9" w:name="_Toc432592812"/>
            <w:r>
              <w:rPr>
                <w:rFonts w:hint="eastAsia"/>
                <w:szCs w:val="21"/>
              </w:rPr>
              <w:t>序号</w:t>
            </w:r>
          </w:p>
        </w:tc>
        <w:tc>
          <w:tcPr>
            <w:tcW w:w="2110" w:type="pct"/>
            <w:gridSpan w:val="4"/>
            <w:vAlign w:val="center"/>
          </w:tcPr>
          <w:p>
            <w:pPr>
              <w:keepNext/>
              <w:widowControl w:val="0"/>
              <w:adjustRightInd/>
              <w:snapToGrid/>
              <w:spacing w:line="240" w:lineRule="auto"/>
              <w:jc w:val="center"/>
              <w:rPr>
                <w:szCs w:val="21"/>
              </w:rPr>
            </w:pPr>
            <w:r>
              <w:rPr>
                <w:rFonts w:hint="eastAsia"/>
                <w:szCs w:val="21"/>
              </w:rPr>
              <w:t>评分项</w:t>
            </w:r>
          </w:p>
        </w:tc>
        <w:tc>
          <w:tcPr>
            <w:tcW w:w="2515" w:type="pct"/>
            <w:vAlign w:val="center"/>
          </w:tcPr>
          <w:p>
            <w:pPr>
              <w:keepNext/>
              <w:widowControl w:val="0"/>
              <w:adjustRightInd/>
              <w:snapToGrid/>
              <w:spacing w:line="240" w:lineRule="auto"/>
              <w:jc w:val="center"/>
              <w:rPr>
                <w:szCs w:val="21"/>
              </w:rPr>
            </w:pPr>
            <w:r>
              <w:rPr>
                <w:rFonts w:hint="eastAsia"/>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pct"/>
            <w:vAlign w:val="center"/>
          </w:tcPr>
          <w:p>
            <w:pPr>
              <w:keepNext/>
              <w:widowControl w:val="0"/>
              <w:adjustRightInd/>
              <w:snapToGrid/>
              <w:spacing w:line="240" w:lineRule="auto"/>
              <w:jc w:val="center"/>
              <w:rPr>
                <w:szCs w:val="21"/>
              </w:rPr>
            </w:pPr>
            <w:r>
              <w:rPr>
                <w:rFonts w:hint="eastAsia"/>
                <w:szCs w:val="21"/>
              </w:rPr>
              <w:t>1</w:t>
            </w:r>
          </w:p>
        </w:tc>
        <w:tc>
          <w:tcPr>
            <w:tcW w:w="2110" w:type="pct"/>
            <w:gridSpan w:val="4"/>
            <w:vAlign w:val="center"/>
          </w:tcPr>
          <w:p>
            <w:pPr>
              <w:keepNext/>
              <w:widowControl w:val="0"/>
              <w:adjustRightInd/>
              <w:snapToGrid/>
              <w:spacing w:line="240" w:lineRule="auto"/>
              <w:jc w:val="center"/>
              <w:rPr>
                <w:szCs w:val="21"/>
              </w:rPr>
            </w:pPr>
            <w:r>
              <w:rPr>
                <w:rFonts w:hint="eastAsia"/>
                <w:szCs w:val="21"/>
              </w:rPr>
              <w:t>价格</w:t>
            </w:r>
          </w:p>
        </w:tc>
        <w:tc>
          <w:tcPr>
            <w:tcW w:w="2515" w:type="pct"/>
            <w:vAlign w:val="center"/>
          </w:tcPr>
          <w:p>
            <w:pPr>
              <w:keepNext/>
              <w:widowControl w:val="0"/>
              <w:adjustRightInd/>
              <w:snapToGrid/>
              <w:spacing w:line="240" w:lineRule="auto"/>
              <w:jc w:val="center"/>
              <w:rPr>
                <w:szCs w:val="21"/>
              </w:rPr>
            </w:pPr>
            <w:r>
              <w:rPr>
                <w:rFonts w:hint="eastAsia"/>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pct"/>
            <w:vAlign w:val="center"/>
          </w:tcPr>
          <w:p>
            <w:pPr>
              <w:keepNext/>
              <w:widowControl w:val="0"/>
              <w:adjustRightInd/>
              <w:snapToGrid/>
              <w:spacing w:line="240" w:lineRule="auto"/>
              <w:jc w:val="center"/>
              <w:rPr>
                <w:szCs w:val="21"/>
              </w:rPr>
            </w:pPr>
            <w:r>
              <w:rPr>
                <w:rFonts w:hint="eastAsia"/>
                <w:szCs w:val="21"/>
              </w:rPr>
              <w:t>2</w:t>
            </w:r>
          </w:p>
        </w:tc>
        <w:tc>
          <w:tcPr>
            <w:tcW w:w="2110" w:type="pct"/>
            <w:gridSpan w:val="4"/>
            <w:vAlign w:val="center"/>
          </w:tcPr>
          <w:p>
            <w:pPr>
              <w:keepNext/>
              <w:widowControl w:val="0"/>
              <w:adjustRightInd/>
              <w:snapToGrid/>
              <w:spacing w:line="240" w:lineRule="auto"/>
              <w:jc w:val="center"/>
              <w:rPr>
                <w:szCs w:val="21"/>
              </w:rPr>
            </w:pPr>
            <w:r>
              <w:rPr>
                <w:rFonts w:hint="eastAsia"/>
                <w:szCs w:val="21"/>
              </w:rPr>
              <w:t>技术部分</w:t>
            </w:r>
          </w:p>
        </w:tc>
        <w:tc>
          <w:tcPr>
            <w:tcW w:w="2515" w:type="pct"/>
            <w:vAlign w:val="center"/>
          </w:tcPr>
          <w:p>
            <w:pPr>
              <w:keepNext/>
              <w:widowControl w:val="0"/>
              <w:adjustRightInd/>
              <w:snapToGrid/>
              <w:spacing w:line="240" w:lineRule="auto"/>
              <w:jc w:val="center"/>
              <w:rPr>
                <w:szCs w:val="21"/>
              </w:rPr>
            </w:pPr>
            <w:r>
              <w:rPr>
                <w:rFonts w:hint="eastAsia"/>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pct"/>
            <w:vMerge w:val="restart"/>
            <w:vAlign w:val="center"/>
          </w:tcPr>
          <w:p>
            <w:pPr>
              <w:keepNext/>
              <w:widowControl w:val="0"/>
              <w:adjustRightInd/>
              <w:snapToGrid/>
              <w:spacing w:line="240" w:lineRule="auto"/>
              <w:jc w:val="center"/>
              <w:rPr>
                <w:szCs w:val="21"/>
              </w:rPr>
            </w:pPr>
          </w:p>
        </w:tc>
        <w:tc>
          <w:tcPr>
            <w:tcW w:w="287" w:type="pct"/>
            <w:vAlign w:val="center"/>
          </w:tcPr>
          <w:p>
            <w:pPr>
              <w:keepNext/>
              <w:widowControl w:val="0"/>
              <w:adjustRightInd/>
              <w:snapToGrid/>
              <w:spacing w:line="240" w:lineRule="auto"/>
              <w:jc w:val="center"/>
              <w:rPr>
                <w:szCs w:val="21"/>
              </w:rPr>
            </w:pPr>
            <w:r>
              <w:rPr>
                <w:rFonts w:hint="eastAsia"/>
                <w:szCs w:val="21"/>
              </w:rPr>
              <w:t>序号</w:t>
            </w:r>
          </w:p>
        </w:tc>
        <w:tc>
          <w:tcPr>
            <w:tcW w:w="1010" w:type="pct"/>
            <w:vAlign w:val="center"/>
          </w:tcPr>
          <w:p>
            <w:pPr>
              <w:keepNext/>
              <w:widowControl w:val="0"/>
              <w:adjustRightInd/>
              <w:snapToGrid/>
              <w:spacing w:line="240" w:lineRule="auto"/>
              <w:jc w:val="center"/>
              <w:rPr>
                <w:szCs w:val="21"/>
              </w:rPr>
            </w:pPr>
            <w:r>
              <w:rPr>
                <w:rFonts w:hint="eastAsia"/>
                <w:szCs w:val="21"/>
              </w:rPr>
              <w:t>评标项目</w:t>
            </w:r>
          </w:p>
        </w:tc>
        <w:tc>
          <w:tcPr>
            <w:tcW w:w="441" w:type="pct"/>
            <w:vAlign w:val="center"/>
          </w:tcPr>
          <w:p>
            <w:pPr>
              <w:keepNext/>
              <w:widowControl w:val="0"/>
              <w:adjustRightInd/>
              <w:snapToGrid/>
              <w:spacing w:line="240" w:lineRule="auto"/>
              <w:jc w:val="center"/>
              <w:rPr>
                <w:szCs w:val="21"/>
              </w:rPr>
            </w:pPr>
            <w:r>
              <w:rPr>
                <w:rFonts w:hint="eastAsia"/>
                <w:szCs w:val="21"/>
              </w:rPr>
              <w:t>评标分值</w:t>
            </w:r>
          </w:p>
        </w:tc>
        <w:tc>
          <w:tcPr>
            <w:tcW w:w="370" w:type="pct"/>
            <w:vAlign w:val="center"/>
          </w:tcPr>
          <w:p>
            <w:pPr>
              <w:keepNext/>
              <w:widowControl w:val="0"/>
              <w:adjustRightInd/>
              <w:snapToGrid/>
              <w:spacing w:line="240" w:lineRule="auto"/>
              <w:jc w:val="center"/>
              <w:rPr>
                <w:szCs w:val="21"/>
              </w:rPr>
            </w:pPr>
            <w:r>
              <w:rPr>
                <w:rFonts w:hint="eastAsia"/>
                <w:szCs w:val="21"/>
              </w:rPr>
              <w:t>评分方式</w:t>
            </w:r>
          </w:p>
        </w:tc>
        <w:tc>
          <w:tcPr>
            <w:tcW w:w="2515" w:type="pct"/>
            <w:vAlign w:val="center"/>
          </w:tcPr>
          <w:p>
            <w:pPr>
              <w:keepNext/>
              <w:widowControl w:val="0"/>
              <w:adjustRightInd/>
              <w:snapToGrid/>
              <w:spacing w:line="240" w:lineRule="auto"/>
              <w:jc w:val="center"/>
              <w:rPr>
                <w:szCs w:val="21"/>
              </w:rPr>
            </w:pPr>
            <w:r>
              <w:rPr>
                <w:rFonts w:hint="eastAsia"/>
                <w:szCs w:val="21"/>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pct"/>
            <w:vMerge w:val="continue"/>
            <w:vAlign w:val="center"/>
          </w:tcPr>
          <w:p>
            <w:pPr>
              <w:keepNext/>
              <w:widowControl w:val="0"/>
              <w:adjustRightInd/>
              <w:spacing w:before="260" w:after="260" w:line="240" w:lineRule="auto"/>
              <w:jc w:val="center"/>
              <w:outlineLvl w:val="2"/>
              <w:rPr>
                <w:szCs w:val="21"/>
              </w:rPr>
            </w:pPr>
          </w:p>
        </w:tc>
        <w:tc>
          <w:tcPr>
            <w:tcW w:w="287" w:type="pct"/>
            <w:vAlign w:val="center"/>
          </w:tcPr>
          <w:p>
            <w:pPr>
              <w:keepNext/>
              <w:widowControl w:val="0"/>
              <w:adjustRightInd/>
              <w:spacing w:line="240" w:lineRule="auto"/>
              <w:jc w:val="center"/>
              <w:rPr>
                <w:szCs w:val="21"/>
              </w:rPr>
            </w:pPr>
            <w:r>
              <w:rPr>
                <w:rFonts w:hint="eastAsia"/>
                <w:szCs w:val="21"/>
              </w:rPr>
              <w:t>1</w:t>
            </w:r>
          </w:p>
        </w:tc>
        <w:tc>
          <w:tcPr>
            <w:tcW w:w="1010" w:type="pct"/>
            <w:vAlign w:val="center"/>
          </w:tcPr>
          <w:p>
            <w:pPr>
              <w:keepNext/>
              <w:widowControl w:val="0"/>
              <w:adjustRightInd/>
              <w:spacing w:line="240" w:lineRule="auto"/>
              <w:jc w:val="center"/>
              <w:rPr>
                <w:szCs w:val="21"/>
              </w:rPr>
            </w:pPr>
            <w:r>
              <w:rPr>
                <w:rFonts w:hint="eastAsia"/>
                <w:szCs w:val="21"/>
              </w:rPr>
              <w:t>技术规格偏离情况</w:t>
            </w:r>
          </w:p>
        </w:tc>
        <w:tc>
          <w:tcPr>
            <w:tcW w:w="441" w:type="pct"/>
            <w:vAlign w:val="center"/>
          </w:tcPr>
          <w:p>
            <w:pPr>
              <w:keepNext/>
              <w:widowControl w:val="0"/>
              <w:adjustRightInd/>
              <w:spacing w:line="240" w:lineRule="auto"/>
              <w:jc w:val="center"/>
              <w:rPr>
                <w:szCs w:val="21"/>
              </w:rPr>
            </w:pPr>
            <w:r>
              <w:rPr>
                <w:rFonts w:hint="eastAsia"/>
                <w:szCs w:val="21"/>
              </w:rPr>
              <w:t>36</w:t>
            </w:r>
          </w:p>
        </w:tc>
        <w:tc>
          <w:tcPr>
            <w:tcW w:w="370" w:type="pct"/>
            <w:vAlign w:val="center"/>
          </w:tcPr>
          <w:p>
            <w:pPr>
              <w:keepNext/>
              <w:widowControl w:val="0"/>
              <w:adjustRightInd/>
              <w:spacing w:line="240" w:lineRule="auto"/>
              <w:jc w:val="center"/>
              <w:rPr>
                <w:szCs w:val="21"/>
              </w:rPr>
            </w:pPr>
            <w:r>
              <w:rPr>
                <w:rFonts w:hint="eastAsia"/>
                <w:szCs w:val="21"/>
              </w:rPr>
              <w:t>专家打分</w:t>
            </w:r>
          </w:p>
        </w:tc>
        <w:tc>
          <w:tcPr>
            <w:tcW w:w="2515" w:type="pct"/>
            <w:vAlign w:val="center"/>
          </w:tcPr>
          <w:p>
            <w:pPr>
              <w:keepNext/>
              <w:widowControl w:val="0"/>
              <w:wordWrap w:val="0"/>
              <w:adjustRightInd/>
              <w:spacing w:line="240" w:lineRule="auto"/>
              <w:jc w:val="left"/>
              <w:textAlignment w:val="top"/>
              <w:rPr>
                <w:szCs w:val="21"/>
              </w:rPr>
            </w:pPr>
            <w:r>
              <w:rPr>
                <w:rFonts w:hint="eastAsia"/>
                <w:szCs w:val="21"/>
                <w:lang w:bidi="ar"/>
              </w:rPr>
              <w:t>投标人应如实填写《技术规格偏离表》，评审委员会根据技术需求参数响应情况进行打分，各项技术参数指标及要求全部满足的得满分。标注“▲”项参数共</w:t>
            </w:r>
            <w:bookmarkStart w:id="10" w:name="OLE_LINK2"/>
            <w:r>
              <w:rPr>
                <w:rFonts w:hint="eastAsia"/>
                <w:szCs w:val="21"/>
                <w:lang w:bidi="ar"/>
              </w:rPr>
              <w:t>10项，每负偏离一项</w:t>
            </w:r>
            <w:r>
              <w:rPr>
                <w:rFonts w:hint="eastAsia"/>
                <w:szCs w:val="21"/>
                <w:u w:val="none"/>
                <w:lang w:bidi="ar"/>
              </w:rPr>
              <w:t>扣 2 分</w:t>
            </w:r>
            <w:bookmarkEnd w:id="10"/>
            <w:r>
              <w:rPr>
                <w:rFonts w:hint="eastAsia"/>
                <w:szCs w:val="21"/>
                <w:u w:val="none"/>
                <w:lang w:eastAsia="zh-CN" w:bidi="ar"/>
              </w:rPr>
              <w:t>；</w:t>
            </w:r>
            <w:r>
              <w:rPr>
                <w:rFonts w:hint="eastAsia"/>
                <w:szCs w:val="21"/>
                <w:u w:val="none"/>
                <w:lang w:bidi="ar"/>
              </w:rPr>
              <w:t>未标注“▲”项参数共97项，每负偏离一项扣 0.2分，扣完为止（一般技术参数偏离达到50项，则直接计0分。）</w:t>
            </w:r>
            <w:r>
              <w:rPr>
                <w:rFonts w:hint="eastAsia"/>
                <w:szCs w:val="21"/>
                <w:lang w:bidi="ar"/>
              </w:rPr>
              <w:t xml:space="preserve">；优于招标要求的技术参数项不加分。 </w:t>
            </w:r>
          </w:p>
          <w:p>
            <w:pPr>
              <w:pStyle w:val="27"/>
              <w:keepNext/>
              <w:widowControl w:val="0"/>
              <w:autoSpaceDE/>
              <w:autoSpaceDN/>
              <w:adjustRightInd/>
              <w:spacing w:line="240" w:lineRule="auto"/>
              <w:rPr>
                <w:rFonts w:hAnsi="宋体" w:cs="宋体"/>
                <w:sz w:val="21"/>
                <w:szCs w:val="21"/>
              </w:rPr>
            </w:pPr>
            <w:r>
              <w:rPr>
                <w:rFonts w:hint="eastAsia" w:hAnsi="宋体" w:cs="宋体"/>
                <w:sz w:val="21"/>
                <w:szCs w:val="21"/>
                <w:lang w:bidi="ar"/>
              </w:rPr>
              <w:t>▲表示的重点技术参数，投标人须如实填写《技术规格偏离表》，</w:t>
            </w:r>
            <w:r>
              <w:rPr>
                <w:rFonts w:hint="eastAsia" w:hAnsi="宋体" w:cs="宋体"/>
                <w:sz w:val="21"/>
                <w:szCs w:val="21"/>
                <w:lang w:val="en-US" w:eastAsia="zh-CN" w:bidi="ar"/>
              </w:rPr>
              <w:t>如有要求</w:t>
            </w:r>
            <w:r>
              <w:rPr>
                <w:rFonts w:hint="eastAsia" w:hAnsi="宋体" w:cs="宋体"/>
                <w:sz w:val="21"/>
                <w:szCs w:val="21"/>
                <w:lang w:bidi="ar"/>
              </w:rPr>
              <w:t>提供相关证明资料</w:t>
            </w:r>
            <w:r>
              <w:rPr>
                <w:rFonts w:hint="eastAsia" w:hAnsi="宋体" w:cs="宋体"/>
                <w:sz w:val="21"/>
                <w:szCs w:val="21"/>
                <w:lang w:val="en-US" w:eastAsia="zh-CN" w:bidi="ar"/>
              </w:rPr>
              <w:t>的</w:t>
            </w:r>
            <w:r>
              <w:rPr>
                <w:rFonts w:hint="eastAsia" w:hAnsi="宋体" w:cs="宋体"/>
                <w:sz w:val="21"/>
                <w:szCs w:val="21"/>
                <w:lang w:bidi="ar"/>
              </w:rPr>
              <w:t>需</w:t>
            </w:r>
            <w:bookmarkStart w:id="11" w:name="OLE_LINK40"/>
            <w:r>
              <w:rPr>
                <w:rFonts w:hint="eastAsia" w:hAnsi="宋体" w:cs="宋体"/>
                <w:sz w:val="21"/>
                <w:szCs w:val="21"/>
                <w:lang w:bidi="ar"/>
              </w:rPr>
              <w:t>提供相关证明</w:t>
            </w:r>
            <w:bookmarkEnd w:id="11"/>
            <w:bookmarkStart w:id="12" w:name="OLE_LINK41"/>
            <w:r>
              <w:rPr>
                <w:rFonts w:hint="eastAsia" w:hAnsi="宋体" w:cs="宋体"/>
                <w:sz w:val="21"/>
                <w:szCs w:val="21"/>
                <w:lang w:bidi="ar"/>
              </w:rPr>
              <w:t>资料</w:t>
            </w:r>
            <w:bookmarkEnd w:id="12"/>
            <w:r>
              <w:rPr>
                <w:rFonts w:hint="eastAsia" w:hAnsi="宋体" w:cs="宋体"/>
                <w:sz w:val="21"/>
                <w:szCs w:val="21"/>
                <w:lang w:bidi="ar"/>
              </w:rPr>
              <w:t>，包括产品认证资料、产品原厂说明书或产品彩页等。提供的证明资料与投标响应情况不相符的，视为负偏离。如未提供相关证明材料则对应▲号项不得分。投标人的“技术规格响应情况”“技术规格偏离情况”等必须与客观实际保持一致，响应不实且情节严重的，经查实，将依法记入供应商诚信档案或受到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pct"/>
            <w:vMerge w:val="continue"/>
            <w:vAlign w:val="center"/>
          </w:tcPr>
          <w:p>
            <w:pPr>
              <w:keepNext/>
              <w:widowControl w:val="0"/>
              <w:adjustRightInd/>
              <w:spacing w:before="260" w:after="260" w:line="240" w:lineRule="auto"/>
              <w:jc w:val="center"/>
              <w:outlineLvl w:val="2"/>
              <w:rPr>
                <w:szCs w:val="21"/>
              </w:rPr>
            </w:pPr>
          </w:p>
        </w:tc>
        <w:tc>
          <w:tcPr>
            <w:tcW w:w="287" w:type="pct"/>
            <w:vAlign w:val="center"/>
          </w:tcPr>
          <w:p>
            <w:pPr>
              <w:keepNext/>
              <w:widowControl w:val="0"/>
              <w:adjustRightInd/>
              <w:spacing w:line="240" w:lineRule="auto"/>
              <w:jc w:val="center"/>
              <w:rPr>
                <w:szCs w:val="21"/>
              </w:rPr>
            </w:pPr>
            <w:r>
              <w:rPr>
                <w:rFonts w:hint="eastAsia"/>
                <w:szCs w:val="21"/>
              </w:rPr>
              <w:t>2</w:t>
            </w:r>
          </w:p>
        </w:tc>
        <w:tc>
          <w:tcPr>
            <w:tcW w:w="1010" w:type="pct"/>
            <w:vAlign w:val="center"/>
          </w:tcPr>
          <w:p>
            <w:pPr>
              <w:keepNext/>
              <w:widowControl w:val="0"/>
              <w:adjustRightInd/>
              <w:spacing w:line="240" w:lineRule="auto"/>
              <w:jc w:val="center"/>
              <w:rPr>
                <w:b/>
                <w:color w:val="FF0000"/>
                <w:szCs w:val="21"/>
              </w:rPr>
            </w:pPr>
            <w:bookmarkStart w:id="13" w:name="OLE_LINK9"/>
            <w:r>
              <w:rPr>
                <w:rFonts w:hint="eastAsia"/>
                <w:szCs w:val="21"/>
              </w:rPr>
              <w:t>技术保障措施</w:t>
            </w:r>
            <w:bookmarkEnd w:id="13"/>
          </w:p>
        </w:tc>
        <w:tc>
          <w:tcPr>
            <w:tcW w:w="441" w:type="pct"/>
            <w:vAlign w:val="center"/>
          </w:tcPr>
          <w:p>
            <w:pPr>
              <w:keepNext/>
              <w:widowControl w:val="0"/>
              <w:adjustRightInd/>
              <w:spacing w:line="240" w:lineRule="auto"/>
              <w:jc w:val="center"/>
              <w:rPr>
                <w:szCs w:val="21"/>
              </w:rPr>
            </w:pPr>
            <w:r>
              <w:rPr>
                <w:rFonts w:hint="eastAsia"/>
                <w:szCs w:val="21"/>
              </w:rPr>
              <w:t>4</w:t>
            </w:r>
          </w:p>
        </w:tc>
        <w:tc>
          <w:tcPr>
            <w:tcW w:w="370" w:type="pct"/>
            <w:vAlign w:val="center"/>
          </w:tcPr>
          <w:p>
            <w:pPr>
              <w:keepNext/>
              <w:widowControl w:val="0"/>
              <w:adjustRightInd/>
              <w:spacing w:line="240" w:lineRule="auto"/>
              <w:jc w:val="center"/>
              <w:rPr>
                <w:szCs w:val="21"/>
              </w:rPr>
            </w:pPr>
            <w:r>
              <w:rPr>
                <w:rFonts w:hint="eastAsia"/>
                <w:szCs w:val="21"/>
              </w:rPr>
              <w:t>专家打分</w:t>
            </w:r>
          </w:p>
        </w:tc>
        <w:tc>
          <w:tcPr>
            <w:tcW w:w="2515" w:type="pct"/>
            <w:vAlign w:val="center"/>
          </w:tcPr>
          <w:p>
            <w:pPr>
              <w:keepNext/>
              <w:widowControl w:val="0"/>
              <w:adjustRightInd/>
              <w:spacing w:line="240" w:lineRule="auto"/>
              <w:jc w:val="left"/>
              <w:rPr>
                <w:szCs w:val="21"/>
              </w:rPr>
            </w:pPr>
            <w:r>
              <w:rPr>
                <w:rFonts w:hint="eastAsia"/>
                <w:szCs w:val="21"/>
              </w:rPr>
              <w:t>评审内容：</w:t>
            </w:r>
          </w:p>
          <w:p>
            <w:pPr>
              <w:keepNext/>
              <w:widowControl w:val="0"/>
              <w:numPr>
                <w:ilvl w:val="255"/>
                <w:numId w:val="0"/>
              </w:numPr>
              <w:adjustRightInd/>
              <w:spacing w:line="240" w:lineRule="auto"/>
              <w:jc w:val="left"/>
              <w:rPr>
                <w:szCs w:val="21"/>
              </w:rPr>
            </w:pPr>
            <w:r>
              <w:rPr>
                <w:rFonts w:hint="eastAsia"/>
                <w:szCs w:val="21"/>
              </w:rPr>
              <w:t>1.项目团队不少</w:t>
            </w:r>
            <w:bookmarkStart w:id="14" w:name="OLE_LINK5"/>
            <w:r>
              <w:rPr>
                <w:rFonts w:hint="eastAsia"/>
                <w:szCs w:val="21"/>
              </w:rPr>
              <w:t>于5人，</w:t>
            </w:r>
            <w:r>
              <w:rPr>
                <w:rFonts w:hint="eastAsia"/>
                <w:szCs w:val="21"/>
                <w:lang w:val="en-US" w:eastAsia="zh-CN"/>
              </w:rPr>
              <w:t>提供承诺函及人员具体信息（格式自拟），</w:t>
            </w:r>
            <w:r>
              <w:rPr>
                <w:rFonts w:hint="eastAsia"/>
                <w:szCs w:val="21"/>
              </w:rPr>
              <w:t>满足的得1</w:t>
            </w:r>
            <w:bookmarkEnd w:id="14"/>
            <w:r>
              <w:rPr>
                <w:rFonts w:hint="eastAsia"/>
                <w:szCs w:val="21"/>
              </w:rPr>
              <w:t>分。</w:t>
            </w:r>
          </w:p>
          <w:p>
            <w:pPr>
              <w:keepNext/>
              <w:widowControl w:val="0"/>
              <w:numPr>
                <w:ilvl w:val="255"/>
                <w:numId w:val="0"/>
              </w:numPr>
              <w:adjustRightInd/>
              <w:spacing w:line="240" w:lineRule="auto"/>
              <w:jc w:val="left"/>
              <w:rPr>
                <w:szCs w:val="21"/>
              </w:rPr>
            </w:pPr>
            <w:r>
              <w:rPr>
                <w:rFonts w:hint="eastAsia"/>
                <w:szCs w:val="21"/>
              </w:rPr>
              <w:t>2.项目经理（仅限一人）具有</w:t>
            </w:r>
            <w:bookmarkStart w:id="15" w:name="OLE_LINK8"/>
            <w:bookmarkStart w:id="16" w:name="OLE_LINK6"/>
            <w:bookmarkStart w:id="17" w:name="OLE_LINK52"/>
            <w:r>
              <w:rPr>
                <w:rFonts w:hint="eastAsia"/>
                <w:szCs w:val="21"/>
              </w:rPr>
              <w:t>工业和信息化部教育与考试中心（工业和信息化部电子通信行业职业技能鉴定指导中心）颁发的</w:t>
            </w:r>
            <w:bookmarkEnd w:id="15"/>
            <w:bookmarkStart w:id="18" w:name="OLE_LINK1"/>
            <w:bookmarkStart w:id="19" w:name="OLE_LINK4"/>
            <w:r>
              <w:rPr>
                <w:rFonts w:hint="eastAsia"/>
                <w:szCs w:val="21"/>
              </w:rPr>
              <w:t>智能化系统高级工程</w:t>
            </w:r>
            <w:bookmarkEnd w:id="18"/>
            <w:r>
              <w:rPr>
                <w:rFonts w:hint="eastAsia"/>
                <w:szCs w:val="21"/>
              </w:rPr>
              <w:t>师</w:t>
            </w:r>
            <w:bookmarkEnd w:id="16"/>
            <w:r>
              <w:rPr>
                <w:rFonts w:hint="eastAsia"/>
                <w:szCs w:val="21"/>
              </w:rPr>
              <w:t>证书</w:t>
            </w:r>
            <w:bookmarkEnd w:id="19"/>
            <w:r>
              <w:rPr>
                <w:rFonts w:hint="eastAsia"/>
                <w:szCs w:val="21"/>
              </w:rPr>
              <w:t>，</w:t>
            </w:r>
            <w:bookmarkEnd w:id="17"/>
            <w:r>
              <w:rPr>
                <w:rFonts w:hint="eastAsia"/>
                <w:szCs w:val="21"/>
              </w:rPr>
              <w:t>满足的得2分。</w:t>
            </w:r>
          </w:p>
          <w:p>
            <w:pPr>
              <w:keepNext/>
              <w:widowControl w:val="0"/>
              <w:adjustRightInd/>
              <w:spacing w:line="240" w:lineRule="auto"/>
              <w:jc w:val="left"/>
              <w:rPr>
                <w:szCs w:val="21"/>
              </w:rPr>
            </w:pPr>
            <w:r>
              <w:rPr>
                <w:rFonts w:hint="eastAsia"/>
                <w:szCs w:val="21"/>
              </w:rPr>
              <w:t>3.项目团队成员中至少1名具有</w:t>
            </w:r>
            <w:bookmarkStart w:id="20" w:name="OLE_LINK53"/>
            <w:bookmarkStart w:id="21" w:name="OLE_LINK7"/>
            <w:r>
              <w:rPr>
                <w:rFonts w:hint="eastAsia"/>
                <w:szCs w:val="21"/>
              </w:rPr>
              <w:t>工业和信息化部教育与考试中心颁发</w:t>
            </w:r>
            <w:bookmarkEnd w:id="20"/>
            <w:r>
              <w:rPr>
                <w:rFonts w:hint="eastAsia"/>
                <w:szCs w:val="21"/>
              </w:rPr>
              <w:t>的</w:t>
            </w:r>
            <w:bookmarkStart w:id="22" w:name="OLE_LINK50"/>
            <w:r>
              <w:rPr>
                <w:rFonts w:hint="eastAsia"/>
                <w:szCs w:val="21"/>
              </w:rPr>
              <w:t>高级网络运维工程师</w:t>
            </w:r>
            <w:bookmarkEnd w:id="21"/>
            <w:r>
              <w:rPr>
                <w:rFonts w:hint="eastAsia"/>
                <w:szCs w:val="21"/>
              </w:rPr>
              <w:t>证书</w:t>
            </w:r>
            <w:bookmarkEnd w:id="22"/>
            <w:r>
              <w:rPr>
                <w:rFonts w:hint="eastAsia"/>
                <w:szCs w:val="21"/>
              </w:rPr>
              <w:t>，满足的得1分。</w:t>
            </w:r>
          </w:p>
          <w:p>
            <w:pPr>
              <w:pStyle w:val="44"/>
              <w:spacing w:line="240" w:lineRule="auto"/>
              <w:rPr>
                <w:rFonts w:hAnsi="宋体" w:cs="宋体"/>
                <w:szCs w:val="21"/>
              </w:rPr>
            </w:pPr>
            <w:bookmarkStart w:id="23" w:name="OLE_LINK11"/>
            <w:r>
              <w:rPr>
                <w:rFonts w:hint="eastAsia" w:hAnsi="宋体" w:cs="宋体"/>
                <w:szCs w:val="21"/>
              </w:rPr>
              <w:t>2、3项同一人不可重复计分，</w:t>
            </w:r>
            <w:bookmarkStart w:id="24" w:name="OLE_LINK10"/>
            <w:r>
              <w:rPr>
                <w:rFonts w:hint="eastAsia" w:hAnsi="宋体" w:cs="宋体"/>
                <w:szCs w:val="21"/>
              </w:rPr>
              <w:t>以上3项合计最高4分</w:t>
            </w:r>
            <w:bookmarkEnd w:id="24"/>
            <w:r>
              <w:rPr>
                <w:rFonts w:hint="eastAsia" w:hAnsi="宋体" w:cs="宋体"/>
                <w:szCs w:val="21"/>
              </w:rPr>
              <w:t>。</w:t>
            </w:r>
          </w:p>
          <w:bookmarkEnd w:id="23"/>
          <w:p>
            <w:pPr>
              <w:keepNext/>
              <w:widowControl w:val="0"/>
              <w:adjustRightInd/>
              <w:spacing w:line="240" w:lineRule="auto"/>
              <w:jc w:val="left"/>
              <w:rPr>
                <w:szCs w:val="21"/>
              </w:rPr>
            </w:pPr>
            <w:bookmarkStart w:id="25" w:name="OLE_LINK3"/>
            <w:r>
              <w:rPr>
                <w:rFonts w:hint="eastAsia"/>
                <w:szCs w:val="21"/>
              </w:rPr>
              <w:t>评分依据：</w:t>
            </w:r>
          </w:p>
          <w:bookmarkEnd w:id="25"/>
          <w:p>
            <w:pPr>
              <w:keepNext/>
              <w:widowControl w:val="0"/>
              <w:numPr>
                <w:ilvl w:val="255"/>
                <w:numId w:val="0"/>
              </w:numPr>
              <w:adjustRightInd/>
              <w:spacing w:line="240" w:lineRule="auto"/>
              <w:jc w:val="left"/>
              <w:rPr>
                <w:szCs w:val="21"/>
              </w:rPr>
            </w:pPr>
            <w:r>
              <w:rPr>
                <w:rFonts w:hint="eastAsia"/>
                <w:szCs w:val="21"/>
              </w:rPr>
              <w:t>1.提供团体成员本公司的近3个月的社保证明</w:t>
            </w:r>
            <w:bookmarkStart w:id="26" w:name="OLE_LINK45"/>
            <w:bookmarkStart w:id="27" w:name="OLE_LINK43"/>
            <w:bookmarkStart w:id="28" w:name="OLE_LINK44"/>
            <w:r>
              <w:rPr>
                <w:rFonts w:hint="eastAsia"/>
                <w:szCs w:val="21"/>
                <w:lang w:eastAsia="zh-CN"/>
              </w:rPr>
              <w:t>，</w:t>
            </w:r>
            <w:r>
              <w:rPr>
                <w:rFonts w:hint="eastAsia" w:ascii="Times New Roman"/>
                <w:szCs w:val="21"/>
              </w:rPr>
              <w:t>由于社保部门原因（提供社保部门无法出具的证明文件）最近</w:t>
            </w:r>
            <w:bookmarkStart w:id="29" w:name="OLE_LINK46"/>
            <w:r>
              <w:rPr>
                <w:rFonts w:hint="eastAsia" w:ascii="Times New Roman"/>
                <w:szCs w:val="21"/>
              </w:rPr>
              <w:t>1</w:t>
            </w:r>
            <w:bookmarkEnd w:id="29"/>
            <w:r>
              <w:rPr>
                <w:rFonts w:hint="eastAsia" w:ascii="Times New Roman"/>
                <w:szCs w:val="21"/>
              </w:rPr>
              <w:t>个月的社保证明无法提供的，则可以往前顺延一个月）</w:t>
            </w:r>
            <w:bookmarkEnd w:id="26"/>
            <w:r>
              <w:rPr>
                <w:rFonts w:hint="eastAsia"/>
                <w:szCs w:val="21"/>
              </w:rPr>
              <w:t>。</w:t>
            </w:r>
            <w:bookmarkEnd w:id="27"/>
            <w:r>
              <w:rPr>
                <w:rFonts w:hint="eastAsia"/>
                <w:szCs w:val="21"/>
              </w:rPr>
              <w:t>若</w:t>
            </w:r>
            <w:bookmarkEnd w:id="28"/>
            <w:r>
              <w:rPr>
                <w:rFonts w:hint="eastAsia"/>
                <w:szCs w:val="21"/>
              </w:rPr>
              <w:t>供应商成立不足三个月的，需提供成立情况说明函（格式自拟），无需提供相关人员社保，亦可得分；若为退休返聘人员，需提供退休证明及劳务合同（或聘用协议），无需提供相关人员社保，亦可得分。</w:t>
            </w:r>
          </w:p>
          <w:p>
            <w:pPr>
              <w:keepNext/>
              <w:widowControl w:val="0"/>
              <w:numPr>
                <w:ilvl w:val="255"/>
                <w:numId w:val="0"/>
              </w:numPr>
              <w:adjustRightInd/>
              <w:spacing w:line="240" w:lineRule="auto"/>
              <w:jc w:val="left"/>
              <w:rPr>
                <w:szCs w:val="21"/>
              </w:rPr>
            </w:pPr>
            <w:r>
              <w:rPr>
                <w:rFonts w:hint="eastAsia"/>
                <w:szCs w:val="21"/>
                <w:lang w:val="en-US" w:eastAsia="zh-CN"/>
              </w:rPr>
              <w:t>2</w:t>
            </w:r>
            <w:r>
              <w:rPr>
                <w:rFonts w:hint="eastAsia"/>
                <w:szCs w:val="21"/>
              </w:rPr>
              <w:t>.提供相关人员资质证书证明文件复印件，原件备查。评分中出现无证明资料或专家无法凭所提供资料判断是否得分的情况，一律作不得分处理。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pct"/>
            <w:vMerge w:val="continue"/>
            <w:vAlign w:val="center"/>
          </w:tcPr>
          <w:p>
            <w:pPr>
              <w:keepNext/>
              <w:widowControl w:val="0"/>
              <w:adjustRightInd/>
              <w:spacing w:before="260" w:after="160" w:line="240" w:lineRule="auto"/>
              <w:jc w:val="center"/>
              <w:outlineLvl w:val="2"/>
              <w:rPr>
                <w:szCs w:val="21"/>
              </w:rPr>
            </w:pPr>
          </w:p>
        </w:tc>
        <w:tc>
          <w:tcPr>
            <w:tcW w:w="287" w:type="pct"/>
            <w:vAlign w:val="center"/>
          </w:tcPr>
          <w:p>
            <w:pPr>
              <w:keepNext/>
              <w:widowControl w:val="0"/>
              <w:adjustRightInd/>
              <w:spacing w:line="240" w:lineRule="auto"/>
              <w:jc w:val="center"/>
              <w:rPr>
                <w:szCs w:val="21"/>
              </w:rPr>
            </w:pPr>
            <w:r>
              <w:rPr>
                <w:rFonts w:hint="eastAsia"/>
                <w:szCs w:val="21"/>
              </w:rPr>
              <w:t>3</w:t>
            </w:r>
          </w:p>
        </w:tc>
        <w:tc>
          <w:tcPr>
            <w:tcW w:w="1010" w:type="pct"/>
            <w:vAlign w:val="center"/>
          </w:tcPr>
          <w:p>
            <w:pPr>
              <w:keepNext/>
              <w:widowControl w:val="0"/>
              <w:adjustRightInd/>
              <w:spacing w:line="240" w:lineRule="auto"/>
              <w:jc w:val="center"/>
              <w:rPr>
                <w:color w:val="FF0000"/>
                <w:szCs w:val="21"/>
              </w:rPr>
            </w:pPr>
            <w:r>
              <w:rPr>
                <w:rFonts w:hint="eastAsia"/>
                <w:szCs w:val="21"/>
              </w:rPr>
              <w:t>核心产品生产厂家售后服务支持</w:t>
            </w:r>
          </w:p>
        </w:tc>
        <w:tc>
          <w:tcPr>
            <w:tcW w:w="441" w:type="pct"/>
            <w:vAlign w:val="center"/>
          </w:tcPr>
          <w:p>
            <w:pPr>
              <w:keepNext/>
              <w:widowControl w:val="0"/>
              <w:adjustRightInd/>
              <w:spacing w:line="240" w:lineRule="auto"/>
              <w:jc w:val="center"/>
              <w:rPr>
                <w:szCs w:val="21"/>
              </w:rPr>
            </w:pPr>
            <w:r>
              <w:rPr>
                <w:rFonts w:hint="eastAsia"/>
                <w:szCs w:val="21"/>
              </w:rPr>
              <w:t>5</w:t>
            </w:r>
          </w:p>
        </w:tc>
        <w:tc>
          <w:tcPr>
            <w:tcW w:w="370" w:type="pct"/>
            <w:vAlign w:val="center"/>
          </w:tcPr>
          <w:p>
            <w:pPr>
              <w:keepNext/>
              <w:widowControl w:val="0"/>
              <w:adjustRightInd/>
              <w:spacing w:line="240" w:lineRule="auto"/>
              <w:jc w:val="center"/>
              <w:rPr>
                <w:szCs w:val="21"/>
              </w:rPr>
            </w:pPr>
            <w:r>
              <w:rPr>
                <w:rFonts w:hint="eastAsia"/>
                <w:szCs w:val="21"/>
              </w:rPr>
              <w:t>专家打分</w:t>
            </w:r>
          </w:p>
        </w:tc>
        <w:tc>
          <w:tcPr>
            <w:tcW w:w="2515" w:type="pct"/>
            <w:vAlign w:val="center"/>
          </w:tcPr>
          <w:p>
            <w:pPr>
              <w:keepNext/>
              <w:widowControl w:val="0"/>
              <w:adjustRightInd/>
              <w:spacing w:line="240" w:lineRule="auto"/>
              <w:textAlignment w:val="center"/>
              <w:rPr>
                <w:color w:val="000000"/>
                <w:szCs w:val="21"/>
              </w:rPr>
            </w:pPr>
            <w:r>
              <w:rPr>
                <w:rFonts w:hint="eastAsia"/>
                <w:color w:val="000000"/>
                <w:szCs w:val="21"/>
              </w:rPr>
              <w:t>评审标准：</w:t>
            </w:r>
          </w:p>
          <w:p>
            <w:pPr>
              <w:keepNext/>
              <w:widowControl w:val="0"/>
              <w:adjustRightInd/>
              <w:spacing w:line="240" w:lineRule="auto"/>
              <w:textAlignment w:val="center"/>
              <w:rPr>
                <w:color w:val="000000"/>
                <w:szCs w:val="21"/>
              </w:rPr>
            </w:pPr>
            <w:r>
              <w:rPr>
                <w:rFonts w:hint="eastAsia"/>
                <w:color w:val="000000"/>
                <w:szCs w:val="21"/>
              </w:rPr>
              <w:t>投标人提供核心产品生产厂家售后服务技术支持承诺函，提供的得5分，不提供不得分。</w:t>
            </w:r>
          </w:p>
          <w:p>
            <w:pPr>
              <w:keepNext/>
              <w:widowControl w:val="0"/>
              <w:adjustRightInd/>
              <w:spacing w:line="240" w:lineRule="auto"/>
              <w:textAlignment w:val="center"/>
              <w:rPr>
                <w:color w:val="000000"/>
                <w:szCs w:val="21"/>
              </w:rPr>
            </w:pPr>
            <w:r>
              <w:rPr>
                <w:rFonts w:hint="eastAsia"/>
                <w:color w:val="000000"/>
                <w:szCs w:val="21"/>
              </w:rPr>
              <w:t>评分依据：</w:t>
            </w:r>
          </w:p>
          <w:p>
            <w:pPr>
              <w:keepNext/>
              <w:widowControl w:val="0"/>
              <w:adjustRightInd/>
              <w:spacing w:line="240" w:lineRule="auto"/>
              <w:textAlignment w:val="center"/>
              <w:rPr>
                <w:szCs w:val="21"/>
              </w:rPr>
            </w:pPr>
            <w:r>
              <w:rPr>
                <w:rFonts w:hint="eastAsia"/>
                <w:color w:val="000000"/>
                <w:szCs w:val="21"/>
                <w:lang w:val="en-US" w:eastAsia="zh-CN"/>
              </w:rPr>
              <w:t>投标</w:t>
            </w:r>
            <w:r>
              <w:rPr>
                <w:rFonts w:hint="eastAsia"/>
                <w:color w:val="000000"/>
                <w:szCs w:val="21"/>
              </w:rPr>
              <w:t>人须提供符合要求的生产厂家售后服务技术支持承诺函（格式自拟，加盖生产厂家公章）。投标人为产品生产厂家的无需提供售后服务技术支持承诺函，但需提供投标人为产品制造商的声明函（格式自拟，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pct"/>
            <w:vAlign w:val="center"/>
          </w:tcPr>
          <w:p>
            <w:pPr>
              <w:keepNext/>
              <w:widowControl w:val="0"/>
              <w:adjustRightInd/>
              <w:spacing w:line="240" w:lineRule="auto"/>
              <w:jc w:val="center"/>
              <w:rPr>
                <w:szCs w:val="21"/>
              </w:rPr>
            </w:pPr>
            <w:r>
              <w:rPr>
                <w:rFonts w:hint="eastAsia"/>
                <w:szCs w:val="21"/>
              </w:rPr>
              <w:t>3</w:t>
            </w:r>
          </w:p>
        </w:tc>
        <w:tc>
          <w:tcPr>
            <w:tcW w:w="2110" w:type="pct"/>
            <w:gridSpan w:val="4"/>
            <w:vAlign w:val="center"/>
          </w:tcPr>
          <w:p>
            <w:pPr>
              <w:keepNext/>
              <w:widowControl w:val="0"/>
              <w:adjustRightInd/>
              <w:spacing w:line="240" w:lineRule="auto"/>
              <w:jc w:val="center"/>
              <w:rPr>
                <w:szCs w:val="21"/>
              </w:rPr>
            </w:pPr>
            <w:r>
              <w:rPr>
                <w:rFonts w:hint="eastAsia"/>
                <w:szCs w:val="21"/>
              </w:rPr>
              <w:t>商务需求</w:t>
            </w:r>
          </w:p>
        </w:tc>
        <w:tc>
          <w:tcPr>
            <w:tcW w:w="2515" w:type="pct"/>
            <w:vAlign w:val="center"/>
          </w:tcPr>
          <w:p>
            <w:pPr>
              <w:keepNext/>
              <w:widowControl w:val="0"/>
              <w:adjustRightInd/>
              <w:spacing w:line="240" w:lineRule="auto"/>
              <w:jc w:val="center"/>
              <w:rPr>
                <w:szCs w:val="21"/>
              </w:rPr>
            </w:pPr>
            <w:r>
              <w:rPr>
                <w:rFonts w:hint="eastAsia"/>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pct"/>
            <w:vMerge w:val="restart"/>
            <w:vAlign w:val="center"/>
          </w:tcPr>
          <w:p>
            <w:pPr>
              <w:keepNext/>
              <w:widowControl w:val="0"/>
              <w:adjustRightInd/>
              <w:spacing w:before="340" w:after="330" w:line="240" w:lineRule="auto"/>
              <w:jc w:val="center"/>
              <w:outlineLvl w:val="0"/>
              <w:rPr>
                <w:szCs w:val="21"/>
              </w:rPr>
            </w:pPr>
          </w:p>
        </w:tc>
        <w:tc>
          <w:tcPr>
            <w:tcW w:w="287" w:type="pct"/>
            <w:vAlign w:val="center"/>
          </w:tcPr>
          <w:p>
            <w:pPr>
              <w:keepNext/>
              <w:widowControl w:val="0"/>
              <w:adjustRightInd/>
              <w:spacing w:line="240" w:lineRule="auto"/>
              <w:jc w:val="center"/>
              <w:rPr>
                <w:szCs w:val="21"/>
              </w:rPr>
            </w:pPr>
            <w:r>
              <w:rPr>
                <w:rFonts w:hint="eastAsia"/>
                <w:szCs w:val="21"/>
              </w:rPr>
              <w:t>序号</w:t>
            </w:r>
          </w:p>
        </w:tc>
        <w:tc>
          <w:tcPr>
            <w:tcW w:w="1010" w:type="pct"/>
            <w:vAlign w:val="center"/>
          </w:tcPr>
          <w:p>
            <w:pPr>
              <w:keepNext/>
              <w:widowControl w:val="0"/>
              <w:adjustRightInd/>
              <w:spacing w:line="240" w:lineRule="auto"/>
              <w:jc w:val="center"/>
              <w:rPr>
                <w:szCs w:val="21"/>
              </w:rPr>
            </w:pPr>
            <w:r>
              <w:rPr>
                <w:rFonts w:hint="eastAsia"/>
                <w:szCs w:val="21"/>
              </w:rPr>
              <w:t>评分因素</w:t>
            </w:r>
          </w:p>
        </w:tc>
        <w:tc>
          <w:tcPr>
            <w:tcW w:w="441" w:type="pct"/>
            <w:vAlign w:val="center"/>
          </w:tcPr>
          <w:p>
            <w:pPr>
              <w:keepNext/>
              <w:widowControl w:val="0"/>
              <w:adjustRightInd/>
              <w:spacing w:line="240" w:lineRule="auto"/>
              <w:jc w:val="center"/>
              <w:rPr>
                <w:szCs w:val="21"/>
              </w:rPr>
            </w:pPr>
            <w:r>
              <w:rPr>
                <w:rFonts w:hint="eastAsia"/>
                <w:szCs w:val="21"/>
              </w:rPr>
              <w:t>权重</w:t>
            </w:r>
          </w:p>
        </w:tc>
        <w:tc>
          <w:tcPr>
            <w:tcW w:w="370" w:type="pct"/>
            <w:vAlign w:val="center"/>
          </w:tcPr>
          <w:p>
            <w:pPr>
              <w:keepNext/>
              <w:widowControl w:val="0"/>
              <w:adjustRightInd/>
              <w:spacing w:line="240" w:lineRule="auto"/>
              <w:jc w:val="center"/>
              <w:rPr>
                <w:szCs w:val="21"/>
              </w:rPr>
            </w:pPr>
            <w:r>
              <w:rPr>
                <w:rFonts w:hint="eastAsia"/>
                <w:szCs w:val="21"/>
              </w:rPr>
              <w:t>评分方式</w:t>
            </w:r>
          </w:p>
        </w:tc>
        <w:tc>
          <w:tcPr>
            <w:tcW w:w="2515" w:type="pct"/>
            <w:vAlign w:val="center"/>
          </w:tcPr>
          <w:p>
            <w:pPr>
              <w:keepNext/>
              <w:widowControl w:val="0"/>
              <w:adjustRightInd/>
              <w:spacing w:line="240" w:lineRule="auto"/>
              <w:jc w:val="center"/>
              <w:rPr>
                <w:szCs w:val="21"/>
              </w:rPr>
            </w:pPr>
            <w:r>
              <w:rPr>
                <w:rFonts w:hint="eastAsia"/>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pct"/>
            <w:vMerge w:val="continue"/>
            <w:vAlign w:val="center"/>
          </w:tcPr>
          <w:p>
            <w:pPr>
              <w:keepNext/>
              <w:widowControl w:val="0"/>
              <w:adjustRightInd/>
              <w:spacing w:before="340" w:after="330" w:line="240" w:lineRule="auto"/>
              <w:jc w:val="center"/>
              <w:outlineLvl w:val="0"/>
              <w:rPr>
                <w:szCs w:val="21"/>
              </w:rPr>
            </w:pPr>
          </w:p>
        </w:tc>
        <w:tc>
          <w:tcPr>
            <w:tcW w:w="287" w:type="pct"/>
            <w:vAlign w:val="center"/>
          </w:tcPr>
          <w:p>
            <w:pPr>
              <w:keepNext/>
              <w:widowControl w:val="0"/>
              <w:adjustRightInd/>
              <w:spacing w:line="240" w:lineRule="auto"/>
              <w:jc w:val="center"/>
              <w:rPr>
                <w:szCs w:val="21"/>
              </w:rPr>
            </w:pPr>
            <w:r>
              <w:rPr>
                <w:rFonts w:hint="eastAsia"/>
                <w:szCs w:val="21"/>
              </w:rPr>
              <w:t>1</w:t>
            </w:r>
          </w:p>
        </w:tc>
        <w:tc>
          <w:tcPr>
            <w:tcW w:w="1010" w:type="pct"/>
            <w:vAlign w:val="center"/>
          </w:tcPr>
          <w:p>
            <w:pPr>
              <w:keepNext/>
              <w:widowControl w:val="0"/>
              <w:adjustRightInd/>
              <w:spacing w:line="240" w:lineRule="auto"/>
              <w:jc w:val="center"/>
              <w:rPr>
                <w:szCs w:val="21"/>
              </w:rPr>
            </w:pPr>
            <w:r>
              <w:rPr>
                <w:rFonts w:hint="eastAsia"/>
                <w:szCs w:val="21"/>
              </w:rPr>
              <w:t>免费保修期内售后服务条款偏离情况</w:t>
            </w:r>
          </w:p>
        </w:tc>
        <w:tc>
          <w:tcPr>
            <w:tcW w:w="441" w:type="pct"/>
            <w:vAlign w:val="center"/>
          </w:tcPr>
          <w:p>
            <w:pPr>
              <w:keepNext/>
              <w:widowControl w:val="0"/>
              <w:adjustRightInd/>
              <w:spacing w:line="240" w:lineRule="auto"/>
              <w:jc w:val="center"/>
              <w:rPr>
                <w:szCs w:val="21"/>
              </w:rPr>
            </w:pPr>
            <w:r>
              <w:rPr>
                <w:rFonts w:hint="eastAsia"/>
                <w:szCs w:val="21"/>
              </w:rPr>
              <w:t>5</w:t>
            </w:r>
          </w:p>
        </w:tc>
        <w:tc>
          <w:tcPr>
            <w:tcW w:w="370" w:type="pct"/>
            <w:vAlign w:val="center"/>
          </w:tcPr>
          <w:p>
            <w:pPr>
              <w:keepNext/>
              <w:widowControl w:val="0"/>
              <w:adjustRightInd/>
              <w:spacing w:line="240" w:lineRule="auto"/>
              <w:jc w:val="center"/>
              <w:rPr>
                <w:szCs w:val="21"/>
              </w:rPr>
            </w:pPr>
            <w:r>
              <w:rPr>
                <w:rFonts w:hint="eastAsia"/>
                <w:szCs w:val="21"/>
              </w:rPr>
              <w:t>专家评分</w:t>
            </w:r>
          </w:p>
        </w:tc>
        <w:tc>
          <w:tcPr>
            <w:tcW w:w="2515" w:type="pct"/>
            <w:vAlign w:val="center"/>
          </w:tcPr>
          <w:p>
            <w:pPr>
              <w:keepNext/>
              <w:widowControl w:val="0"/>
              <w:adjustRightInd/>
              <w:spacing w:line="240" w:lineRule="auto"/>
              <w:rPr>
                <w:szCs w:val="21"/>
              </w:rPr>
            </w:pPr>
            <w:r>
              <w:rPr>
                <w:rFonts w:hint="eastAsia"/>
                <w:szCs w:val="21"/>
              </w:rPr>
              <w:t>投标人应如实填写《</w:t>
            </w:r>
            <w:bookmarkStart w:id="30" w:name="OLE_LINK25"/>
            <w:r>
              <w:rPr>
                <w:rFonts w:hint="eastAsia"/>
                <w:szCs w:val="21"/>
              </w:rPr>
              <w:t>免费保修期内售后服务条款偏离表</w:t>
            </w:r>
            <w:bookmarkEnd w:id="30"/>
            <w:r>
              <w:rPr>
                <w:rFonts w:hint="eastAsia"/>
                <w:szCs w:val="21"/>
              </w:rPr>
              <w:t>》，评审委员会根据响应情况进行打分，全部满足要求的得 5 分，每负偏离一项不得分。投标人的“免费保修期内售后服务条款偏离情况”等必须与客观实际保持一致，响应不实且情节严重的，经查实，将依法记入供应商诚信档案或受到行政处罚。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pct"/>
            <w:vMerge w:val="continue"/>
            <w:vAlign w:val="center"/>
          </w:tcPr>
          <w:p>
            <w:pPr>
              <w:keepNext/>
              <w:widowControl w:val="0"/>
              <w:adjustRightInd/>
              <w:spacing w:before="260" w:after="260" w:line="240" w:lineRule="auto"/>
              <w:jc w:val="center"/>
              <w:outlineLvl w:val="2"/>
              <w:rPr>
                <w:szCs w:val="21"/>
              </w:rPr>
            </w:pPr>
          </w:p>
        </w:tc>
        <w:tc>
          <w:tcPr>
            <w:tcW w:w="287" w:type="pct"/>
            <w:vAlign w:val="center"/>
          </w:tcPr>
          <w:p>
            <w:pPr>
              <w:keepNext/>
              <w:widowControl w:val="0"/>
              <w:adjustRightInd/>
              <w:spacing w:line="240" w:lineRule="auto"/>
              <w:jc w:val="center"/>
              <w:rPr>
                <w:szCs w:val="21"/>
              </w:rPr>
            </w:pPr>
            <w:r>
              <w:rPr>
                <w:rFonts w:hint="eastAsia"/>
                <w:szCs w:val="21"/>
              </w:rPr>
              <w:t>2</w:t>
            </w:r>
          </w:p>
        </w:tc>
        <w:tc>
          <w:tcPr>
            <w:tcW w:w="1010" w:type="pct"/>
            <w:vAlign w:val="center"/>
          </w:tcPr>
          <w:p>
            <w:pPr>
              <w:keepNext/>
              <w:widowControl w:val="0"/>
              <w:adjustRightInd/>
              <w:spacing w:line="240" w:lineRule="auto"/>
              <w:jc w:val="center"/>
              <w:rPr>
                <w:color w:val="FF0000"/>
                <w:szCs w:val="21"/>
              </w:rPr>
            </w:pPr>
            <w:r>
              <w:rPr>
                <w:rFonts w:hint="eastAsia"/>
                <w:szCs w:val="21"/>
              </w:rPr>
              <w:t>免费保修期外售后服务条款偏离情况</w:t>
            </w:r>
          </w:p>
        </w:tc>
        <w:tc>
          <w:tcPr>
            <w:tcW w:w="441" w:type="pct"/>
            <w:vAlign w:val="center"/>
          </w:tcPr>
          <w:p>
            <w:pPr>
              <w:keepNext/>
              <w:widowControl w:val="0"/>
              <w:adjustRightInd/>
              <w:spacing w:line="240" w:lineRule="auto"/>
              <w:jc w:val="center"/>
              <w:rPr>
                <w:szCs w:val="21"/>
              </w:rPr>
            </w:pPr>
            <w:r>
              <w:rPr>
                <w:rFonts w:hint="eastAsia"/>
                <w:szCs w:val="21"/>
              </w:rPr>
              <w:t>3</w:t>
            </w:r>
          </w:p>
        </w:tc>
        <w:tc>
          <w:tcPr>
            <w:tcW w:w="370" w:type="pct"/>
            <w:vAlign w:val="center"/>
          </w:tcPr>
          <w:p>
            <w:pPr>
              <w:keepNext/>
              <w:widowControl w:val="0"/>
              <w:adjustRightInd/>
              <w:spacing w:line="240" w:lineRule="auto"/>
              <w:jc w:val="center"/>
              <w:rPr>
                <w:szCs w:val="21"/>
              </w:rPr>
            </w:pPr>
            <w:r>
              <w:rPr>
                <w:rFonts w:hint="eastAsia"/>
                <w:szCs w:val="21"/>
              </w:rPr>
              <w:t>专家评分</w:t>
            </w:r>
          </w:p>
        </w:tc>
        <w:tc>
          <w:tcPr>
            <w:tcW w:w="2515" w:type="pct"/>
            <w:vAlign w:val="center"/>
          </w:tcPr>
          <w:p>
            <w:pPr>
              <w:keepNext/>
              <w:widowControl w:val="0"/>
              <w:adjustRightInd/>
              <w:spacing w:line="240" w:lineRule="auto"/>
              <w:rPr>
                <w:szCs w:val="21"/>
              </w:rPr>
            </w:pPr>
            <w:r>
              <w:rPr>
                <w:rFonts w:hint="eastAsia"/>
                <w:szCs w:val="21"/>
              </w:rPr>
              <w:t>投标人应如实填写《</w:t>
            </w:r>
            <w:bookmarkStart w:id="31" w:name="OLE_LINK26"/>
            <w:r>
              <w:rPr>
                <w:rFonts w:hint="eastAsia"/>
                <w:szCs w:val="21"/>
              </w:rPr>
              <w:t>免费保修期外售后服务条款偏离表</w:t>
            </w:r>
            <w:bookmarkEnd w:id="31"/>
            <w:r>
              <w:rPr>
                <w:rFonts w:hint="eastAsia"/>
                <w:szCs w:val="21"/>
              </w:rPr>
              <w:t>》，评审委员会根据响应情况进行打分，全部满足要求的得 3 分，每负偏离一项不得分。投标人的“免费保修期外售后服务条款偏离情况”等必须与客观实际保持一致，响应不实且情节严重的，经查实，将依法记入供应商诚信档案或受到行政处罚。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pct"/>
            <w:vMerge w:val="continue"/>
            <w:vAlign w:val="center"/>
          </w:tcPr>
          <w:p>
            <w:pPr>
              <w:keepNext/>
              <w:widowControl w:val="0"/>
              <w:adjustRightInd/>
              <w:spacing w:before="260" w:after="260" w:line="240" w:lineRule="auto"/>
              <w:jc w:val="center"/>
              <w:outlineLvl w:val="2"/>
              <w:rPr>
                <w:szCs w:val="21"/>
              </w:rPr>
            </w:pPr>
          </w:p>
        </w:tc>
        <w:tc>
          <w:tcPr>
            <w:tcW w:w="287" w:type="pct"/>
            <w:vAlign w:val="center"/>
          </w:tcPr>
          <w:p>
            <w:pPr>
              <w:keepNext/>
              <w:widowControl w:val="0"/>
              <w:adjustRightInd/>
              <w:spacing w:line="240" w:lineRule="auto"/>
              <w:jc w:val="center"/>
              <w:rPr>
                <w:szCs w:val="21"/>
              </w:rPr>
            </w:pPr>
            <w:r>
              <w:rPr>
                <w:rFonts w:hint="eastAsia"/>
                <w:szCs w:val="21"/>
              </w:rPr>
              <w:t>3</w:t>
            </w:r>
          </w:p>
        </w:tc>
        <w:tc>
          <w:tcPr>
            <w:tcW w:w="1010" w:type="pct"/>
            <w:vAlign w:val="center"/>
          </w:tcPr>
          <w:p>
            <w:pPr>
              <w:keepNext/>
              <w:widowControl w:val="0"/>
              <w:adjustRightInd/>
              <w:spacing w:line="240" w:lineRule="auto"/>
              <w:jc w:val="center"/>
              <w:rPr>
                <w:color w:val="FF0000"/>
                <w:szCs w:val="21"/>
              </w:rPr>
            </w:pPr>
            <w:r>
              <w:rPr>
                <w:rFonts w:hint="eastAsia"/>
                <w:szCs w:val="21"/>
              </w:rPr>
              <w:t>其他商务条款偏离情况</w:t>
            </w:r>
          </w:p>
        </w:tc>
        <w:tc>
          <w:tcPr>
            <w:tcW w:w="441" w:type="pct"/>
            <w:vAlign w:val="center"/>
          </w:tcPr>
          <w:p>
            <w:pPr>
              <w:keepNext/>
              <w:widowControl w:val="0"/>
              <w:adjustRightInd/>
              <w:spacing w:line="240" w:lineRule="auto"/>
              <w:jc w:val="center"/>
              <w:rPr>
                <w:szCs w:val="21"/>
              </w:rPr>
            </w:pPr>
            <w:r>
              <w:rPr>
                <w:rFonts w:hint="eastAsia"/>
                <w:szCs w:val="21"/>
              </w:rPr>
              <w:t>3</w:t>
            </w:r>
          </w:p>
        </w:tc>
        <w:tc>
          <w:tcPr>
            <w:tcW w:w="370" w:type="pct"/>
            <w:vAlign w:val="center"/>
          </w:tcPr>
          <w:p>
            <w:pPr>
              <w:keepNext/>
              <w:widowControl w:val="0"/>
              <w:adjustRightInd/>
              <w:spacing w:line="240" w:lineRule="auto"/>
              <w:jc w:val="center"/>
              <w:rPr>
                <w:szCs w:val="21"/>
              </w:rPr>
            </w:pPr>
            <w:r>
              <w:rPr>
                <w:rFonts w:hint="eastAsia"/>
                <w:szCs w:val="21"/>
              </w:rPr>
              <w:t>专家评分</w:t>
            </w:r>
          </w:p>
        </w:tc>
        <w:tc>
          <w:tcPr>
            <w:tcW w:w="2515" w:type="pct"/>
            <w:vAlign w:val="center"/>
          </w:tcPr>
          <w:p>
            <w:pPr>
              <w:keepNext/>
              <w:widowControl w:val="0"/>
              <w:adjustRightInd/>
              <w:spacing w:line="240" w:lineRule="auto"/>
              <w:rPr>
                <w:szCs w:val="21"/>
              </w:rPr>
            </w:pPr>
            <w:r>
              <w:rPr>
                <w:rFonts w:hint="eastAsia"/>
                <w:szCs w:val="21"/>
              </w:rPr>
              <w:t>投标人应如实填写《</w:t>
            </w:r>
            <w:bookmarkStart w:id="32" w:name="OLE_LINK27"/>
            <w:r>
              <w:rPr>
                <w:rFonts w:hint="eastAsia"/>
                <w:szCs w:val="21"/>
              </w:rPr>
              <w:t>其他商务条款偏离表</w:t>
            </w:r>
            <w:bookmarkEnd w:id="32"/>
            <w:r>
              <w:rPr>
                <w:rFonts w:hint="eastAsia"/>
                <w:szCs w:val="21"/>
              </w:rPr>
              <w:t>》，评审委员会根据响应情况进行打分，全部满足要求的得 3 分，每负偏离一项不得分。投标人的“其他商务条款偏离情况”等必须与客观实际保持一致，响应不实且情节严重的，经查实，将依法记入供应商诚信档案或受到行政处罚。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pct"/>
            <w:vMerge w:val="continue"/>
            <w:vAlign w:val="center"/>
          </w:tcPr>
          <w:p>
            <w:pPr>
              <w:keepNext/>
              <w:widowControl w:val="0"/>
              <w:adjustRightInd/>
              <w:spacing w:before="260" w:after="260" w:line="240" w:lineRule="auto"/>
              <w:jc w:val="center"/>
              <w:outlineLvl w:val="2"/>
              <w:rPr>
                <w:szCs w:val="21"/>
              </w:rPr>
            </w:pPr>
          </w:p>
        </w:tc>
        <w:tc>
          <w:tcPr>
            <w:tcW w:w="287" w:type="pct"/>
            <w:vAlign w:val="center"/>
          </w:tcPr>
          <w:p>
            <w:pPr>
              <w:keepNext/>
              <w:widowControl w:val="0"/>
              <w:adjustRightInd/>
              <w:spacing w:line="240" w:lineRule="auto"/>
              <w:jc w:val="center"/>
              <w:rPr>
                <w:szCs w:val="21"/>
              </w:rPr>
            </w:pPr>
            <w:r>
              <w:rPr>
                <w:rFonts w:hint="eastAsia"/>
                <w:szCs w:val="21"/>
              </w:rPr>
              <w:t>4</w:t>
            </w:r>
          </w:p>
        </w:tc>
        <w:tc>
          <w:tcPr>
            <w:tcW w:w="1010" w:type="pct"/>
            <w:vAlign w:val="center"/>
          </w:tcPr>
          <w:p>
            <w:pPr>
              <w:keepNext/>
              <w:widowControl w:val="0"/>
              <w:adjustRightInd/>
              <w:spacing w:line="240" w:lineRule="auto"/>
              <w:jc w:val="center"/>
              <w:rPr>
                <w:szCs w:val="21"/>
              </w:rPr>
            </w:pPr>
            <w:r>
              <w:rPr>
                <w:rFonts w:hint="eastAsia"/>
                <w:szCs w:val="21"/>
              </w:rPr>
              <w:t>投标人同类业绩</w:t>
            </w:r>
          </w:p>
        </w:tc>
        <w:tc>
          <w:tcPr>
            <w:tcW w:w="441" w:type="pct"/>
            <w:vAlign w:val="center"/>
          </w:tcPr>
          <w:p>
            <w:pPr>
              <w:keepNext/>
              <w:widowControl w:val="0"/>
              <w:adjustRightInd/>
              <w:spacing w:line="240" w:lineRule="auto"/>
              <w:jc w:val="center"/>
              <w:rPr>
                <w:szCs w:val="21"/>
              </w:rPr>
            </w:pPr>
            <w:r>
              <w:rPr>
                <w:rFonts w:hint="eastAsia"/>
                <w:szCs w:val="21"/>
              </w:rPr>
              <w:t>9</w:t>
            </w:r>
          </w:p>
        </w:tc>
        <w:tc>
          <w:tcPr>
            <w:tcW w:w="370" w:type="pct"/>
            <w:vAlign w:val="center"/>
          </w:tcPr>
          <w:p>
            <w:pPr>
              <w:keepNext/>
              <w:widowControl w:val="0"/>
              <w:adjustRightInd/>
              <w:spacing w:line="240" w:lineRule="auto"/>
              <w:jc w:val="center"/>
              <w:rPr>
                <w:szCs w:val="21"/>
              </w:rPr>
            </w:pPr>
            <w:r>
              <w:rPr>
                <w:rFonts w:hint="eastAsia"/>
                <w:szCs w:val="21"/>
              </w:rPr>
              <w:t>专家评分</w:t>
            </w:r>
          </w:p>
        </w:tc>
        <w:tc>
          <w:tcPr>
            <w:tcW w:w="2515" w:type="pct"/>
          </w:tcPr>
          <w:p>
            <w:pPr>
              <w:keepNext/>
              <w:widowControl w:val="0"/>
              <w:adjustRightInd/>
              <w:spacing w:line="240" w:lineRule="auto"/>
              <w:rPr>
                <w:szCs w:val="21"/>
              </w:rPr>
            </w:pPr>
            <w:r>
              <w:rPr>
                <w:rFonts w:hint="eastAsia"/>
                <w:szCs w:val="21"/>
              </w:rPr>
              <w:t>近三年（20</w:t>
            </w:r>
            <w:r>
              <w:rPr>
                <w:rFonts w:hint="eastAsia"/>
                <w:szCs w:val="21"/>
                <w:u w:val="single"/>
              </w:rPr>
              <w:t>21</w:t>
            </w:r>
            <w:r>
              <w:rPr>
                <w:rFonts w:hint="eastAsia"/>
                <w:szCs w:val="21"/>
              </w:rPr>
              <w:t>年</w:t>
            </w:r>
            <w:r>
              <w:rPr>
                <w:rFonts w:hint="eastAsia"/>
                <w:szCs w:val="21"/>
                <w:u w:val="single"/>
              </w:rPr>
              <w:t>9</w:t>
            </w:r>
            <w:r>
              <w:rPr>
                <w:rFonts w:hint="eastAsia"/>
                <w:szCs w:val="21"/>
              </w:rPr>
              <w:t>月</w:t>
            </w:r>
            <w:r>
              <w:rPr>
                <w:rFonts w:hint="eastAsia"/>
                <w:szCs w:val="21"/>
                <w:u w:val="single"/>
              </w:rPr>
              <w:t>1</w:t>
            </w:r>
            <w:r>
              <w:rPr>
                <w:rFonts w:hint="eastAsia"/>
                <w:szCs w:val="21"/>
              </w:rPr>
              <w:t>日至本项目招标公告发布之日）每提供1个同类项目业绩得 3 分，最高得 9分。</w:t>
            </w:r>
          </w:p>
          <w:p>
            <w:pPr>
              <w:keepNext/>
              <w:widowControl w:val="0"/>
              <w:adjustRightInd/>
              <w:spacing w:line="240" w:lineRule="auto"/>
              <w:rPr>
                <w:szCs w:val="21"/>
              </w:rPr>
            </w:pPr>
            <w:r>
              <w:rPr>
                <w:rFonts w:hint="eastAsia"/>
                <w:szCs w:val="21"/>
              </w:rPr>
              <w:t>证明材料：</w:t>
            </w:r>
          </w:p>
          <w:p>
            <w:pPr>
              <w:shd w:val="clear" w:color="auto" w:fill="FFFFFF" w:themeFill="background1"/>
              <w:wordWrap w:val="0"/>
              <w:spacing w:line="240" w:lineRule="auto"/>
              <w:rPr>
                <w:szCs w:val="21"/>
              </w:rPr>
            </w:pPr>
            <w:r>
              <w:rPr>
                <w:rFonts w:hint="eastAsia"/>
                <w:szCs w:val="21"/>
              </w:rPr>
              <w:t>1.业绩必须为已验收合格的业绩，业绩时间以合同签订时间为准。</w:t>
            </w:r>
          </w:p>
          <w:p>
            <w:pPr>
              <w:keepNext/>
              <w:widowControl w:val="0"/>
              <w:adjustRightInd/>
              <w:spacing w:line="240" w:lineRule="auto"/>
              <w:rPr>
                <w:szCs w:val="21"/>
              </w:rPr>
            </w:pPr>
            <w:r>
              <w:rPr>
                <w:rFonts w:hint="eastAsia"/>
                <w:szCs w:val="21"/>
              </w:rPr>
              <w:t>2.</w:t>
            </w:r>
            <w:bookmarkStart w:id="33" w:name="OLE_LINK47"/>
            <w:r>
              <w:rPr>
                <w:rFonts w:hint="eastAsia"/>
                <w:szCs w:val="21"/>
              </w:rPr>
              <w:t>提供合同关键页</w:t>
            </w:r>
            <w:bookmarkEnd w:id="33"/>
            <w:r>
              <w:rPr>
                <w:rFonts w:hint="eastAsia"/>
                <w:szCs w:val="21"/>
              </w:rPr>
              <w:t>（均加盖合同甲方公章或业务章）复印件，加盖投标人公章，原件备查，否则不得分。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pct"/>
            <w:vAlign w:val="center"/>
          </w:tcPr>
          <w:p>
            <w:pPr>
              <w:keepNext/>
              <w:widowControl w:val="0"/>
              <w:adjustRightInd/>
              <w:spacing w:line="240" w:lineRule="auto"/>
              <w:jc w:val="center"/>
              <w:rPr>
                <w:szCs w:val="21"/>
              </w:rPr>
            </w:pPr>
            <w:r>
              <w:rPr>
                <w:rFonts w:hint="eastAsia"/>
                <w:szCs w:val="21"/>
              </w:rPr>
              <w:t>4</w:t>
            </w:r>
          </w:p>
        </w:tc>
        <w:tc>
          <w:tcPr>
            <w:tcW w:w="2110" w:type="pct"/>
            <w:gridSpan w:val="4"/>
            <w:vAlign w:val="center"/>
          </w:tcPr>
          <w:p>
            <w:pPr>
              <w:keepNext/>
              <w:widowControl w:val="0"/>
              <w:adjustRightInd/>
              <w:spacing w:line="240" w:lineRule="auto"/>
              <w:jc w:val="center"/>
              <w:rPr>
                <w:szCs w:val="21"/>
              </w:rPr>
            </w:pPr>
            <w:r>
              <w:rPr>
                <w:rFonts w:hint="eastAsia"/>
                <w:szCs w:val="21"/>
              </w:rPr>
              <w:t>诚信情况</w:t>
            </w:r>
          </w:p>
        </w:tc>
        <w:tc>
          <w:tcPr>
            <w:tcW w:w="2515" w:type="pct"/>
            <w:vAlign w:val="center"/>
          </w:tcPr>
          <w:p>
            <w:pPr>
              <w:keepNext/>
              <w:widowControl w:val="0"/>
              <w:adjustRightInd/>
              <w:spacing w:line="240" w:lineRule="auto"/>
              <w:jc w:val="center"/>
              <w:rPr>
                <w:szCs w:val="21"/>
              </w:rPr>
            </w:pPr>
            <w:r>
              <w:rPr>
                <w:rFonts w:hint="eastAsia"/>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pct"/>
            <w:vMerge w:val="restart"/>
            <w:vAlign w:val="center"/>
          </w:tcPr>
          <w:p>
            <w:pPr>
              <w:keepNext/>
              <w:widowControl w:val="0"/>
              <w:adjustRightInd/>
              <w:spacing w:line="240" w:lineRule="auto"/>
              <w:jc w:val="center"/>
              <w:rPr>
                <w:szCs w:val="21"/>
              </w:rPr>
            </w:pPr>
          </w:p>
        </w:tc>
        <w:tc>
          <w:tcPr>
            <w:tcW w:w="287" w:type="pct"/>
            <w:vAlign w:val="center"/>
          </w:tcPr>
          <w:p>
            <w:pPr>
              <w:keepNext/>
              <w:widowControl w:val="0"/>
              <w:adjustRightInd/>
              <w:spacing w:line="240" w:lineRule="auto"/>
              <w:jc w:val="center"/>
              <w:rPr>
                <w:szCs w:val="21"/>
              </w:rPr>
            </w:pPr>
            <w:r>
              <w:rPr>
                <w:rFonts w:hint="eastAsia"/>
                <w:szCs w:val="21"/>
              </w:rPr>
              <w:t>序号</w:t>
            </w:r>
          </w:p>
        </w:tc>
        <w:tc>
          <w:tcPr>
            <w:tcW w:w="1010" w:type="pct"/>
            <w:vAlign w:val="center"/>
          </w:tcPr>
          <w:p>
            <w:pPr>
              <w:keepNext/>
              <w:widowControl w:val="0"/>
              <w:adjustRightInd/>
              <w:spacing w:line="240" w:lineRule="auto"/>
              <w:jc w:val="center"/>
              <w:rPr>
                <w:szCs w:val="21"/>
              </w:rPr>
            </w:pPr>
            <w:r>
              <w:rPr>
                <w:rFonts w:hint="eastAsia"/>
                <w:szCs w:val="21"/>
              </w:rPr>
              <w:t>评分因素</w:t>
            </w:r>
          </w:p>
        </w:tc>
        <w:tc>
          <w:tcPr>
            <w:tcW w:w="441" w:type="pct"/>
            <w:vAlign w:val="center"/>
          </w:tcPr>
          <w:p>
            <w:pPr>
              <w:keepNext/>
              <w:widowControl w:val="0"/>
              <w:adjustRightInd/>
              <w:spacing w:line="240" w:lineRule="auto"/>
              <w:jc w:val="center"/>
              <w:rPr>
                <w:szCs w:val="21"/>
              </w:rPr>
            </w:pPr>
            <w:r>
              <w:rPr>
                <w:rFonts w:hint="eastAsia"/>
                <w:szCs w:val="21"/>
              </w:rPr>
              <w:t>权重</w:t>
            </w:r>
          </w:p>
        </w:tc>
        <w:tc>
          <w:tcPr>
            <w:tcW w:w="370" w:type="pct"/>
            <w:vAlign w:val="center"/>
          </w:tcPr>
          <w:p>
            <w:pPr>
              <w:keepNext/>
              <w:widowControl w:val="0"/>
              <w:adjustRightInd/>
              <w:spacing w:line="240" w:lineRule="auto"/>
              <w:jc w:val="center"/>
              <w:rPr>
                <w:szCs w:val="21"/>
              </w:rPr>
            </w:pPr>
            <w:r>
              <w:rPr>
                <w:rFonts w:hint="eastAsia"/>
                <w:szCs w:val="21"/>
              </w:rPr>
              <w:t>评分方式</w:t>
            </w:r>
          </w:p>
        </w:tc>
        <w:tc>
          <w:tcPr>
            <w:tcW w:w="2515" w:type="pct"/>
            <w:vAlign w:val="center"/>
          </w:tcPr>
          <w:p>
            <w:pPr>
              <w:keepNext/>
              <w:widowControl w:val="0"/>
              <w:adjustRightInd/>
              <w:spacing w:line="240" w:lineRule="auto"/>
              <w:jc w:val="center"/>
              <w:rPr>
                <w:szCs w:val="21"/>
              </w:rPr>
            </w:pPr>
            <w:r>
              <w:rPr>
                <w:rFonts w:hint="eastAsia"/>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pct"/>
            <w:vMerge w:val="continue"/>
            <w:vAlign w:val="center"/>
          </w:tcPr>
          <w:p>
            <w:pPr>
              <w:keepNext/>
              <w:widowControl w:val="0"/>
              <w:adjustRightInd/>
              <w:spacing w:before="340" w:after="330" w:line="240" w:lineRule="auto"/>
              <w:jc w:val="center"/>
              <w:outlineLvl w:val="0"/>
              <w:rPr>
                <w:szCs w:val="21"/>
              </w:rPr>
            </w:pPr>
          </w:p>
        </w:tc>
        <w:tc>
          <w:tcPr>
            <w:tcW w:w="287" w:type="pct"/>
            <w:vAlign w:val="center"/>
          </w:tcPr>
          <w:p>
            <w:pPr>
              <w:keepNext/>
              <w:widowControl w:val="0"/>
              <w:adjustRightInd/>
              <w:spacing w:line="240" w:lineRule="auto"/>
              <w:jc w:val="center"/>
              <w:rPr>
                <w:szCs w:val="21"/>
              </w:rPr>
            </w:pPr>
            <w:r>
              <w:rPr>
                <w:rFonts w:hint="eastAsia"/>
                <w:szCs w:val="21"/>
              </w:rPr>
              <w:t>1</w:t>
            </w:r>
          </w:p>
        </w:tc>
        <w:tc>
          <w:tcPr>
            <w:tcW w:w="1010" w:type="pct"/>
            <w:vAlign w:val="center"/>
          </w:tcPr>
          <w:p>
            <w:pPr>
              <w:keepNext/>
              <w:widowControl w:val="0"/>
              <w:adjustRightInd/>
              <w:spacing w:line="240" w:lineRule="auto"/>
              <w:jc w:val="center"/>
              <w:rPr>
                <w:szCs w:val="21"/>
              </w:rPr>
            </w:pPr>
            <w:r>
              <w:rPr>
                <w:rFonts w:hint="eastAsia"/>
                <w:szCs w:val="21"/>
              </w:rPr>
              <w:t>诚信</w:t>
            </w:r>
          </w:p>
        </w:tc>
        <w:tc>
          <w:tcPr>
            <w:tcW w:w="441" w:type="pct"/>
            <w:vAlign w:val="center"/>
          </w:tcPr>
          <w:p>
            <w:pPr>
              <w:keepNext/>
              <w:widowControl w:val="0"/>
              <w:adjustRightInd/>
              <w:spacing w:line="240" w:lineRule="auto"/>
              <w:jc w:val="center"/>
              <w:rPr>
                <w:szCs w:val="21"/>
              </w:rPr>
            </w:pPr>
            <w:r>
              <w:rPr>
                <w:rFonts w:hint="eastAsia"/>
                <w:szCs w:val="21"/>
              </w:rPr>
              <w:t>5</w:t>
            </w:r>
          </w:p>
        </w:tc>
        <w:tc>
          <w:tcPr>
            <w:tcW w:w="370" w:type="pct"/>
            <w:vAlign w:val="center"/>
          </w:tcPr>
          <w:p>
            <w:pPr>
              <w:keepNext/>
              <w:widowControl w:val="0"/>
              <w:adjustRightInd/>
              <w:spacing w:line="240" w:lineRule="auto"/>
              <w:jc w:val="center"/>
              <w:rPr>
                <w:szCs w:val="21"/>
              </w:rPr>
            </w:pPr>
            <w:r>
              <w:rPr>
                <w:rFonts w:hint="eastAsia"/>
                <w:szCs w:val="21"/>
              </w:rPr>
              <w:t>专家评分</w:t>
            </w:r>
          </w:p>
        </w:tc>
        <w:tc>
          <w:tcPr>
            <w:tcW w:w="2515" w:type="pct"/>
          </w:tcPr>
          <w:p>
            <w:pPr>
              <w:keepNext/>
              <w:widowControl w:val="0"/>
              <w:adjustRightInd/>
              <w:spacing w:line="240" w:lineRule="auto"/>
              <w:rPr>
                <w:szCs w:val="21"/>
              </w:rPr>
            </w:pPr>
            <w:r>
              <w:rPr>
                <w:rFonts w:hint="eastAsia"/>
                <w:szCs w:val="21"/>
              </w:rPr>
              <w:t>根据相关法律法规规定：投标人被行政主管部门禁止参与政府采购活动或未被禁止参与政府采购活动，但受过警告、罚款、没收违法所得等行政处罚以及不正当理由放弃中标资格而不予退还投保保证金，得0分；投标人未出现过上述文件规定情形的或受过行政处罚，修正行政处罚期已满，可参与政府采购投标活动的，得5分。</w:t>
            </w:r>
          </w:p>
          <w:p>
            <w:pPr>
              <w:pStyle w:val="44"/>
              <w:spacing w:line="240" w:lineRule="auto"/>
              <w:rPr>
                <w:rFonts w:hAnsi="宋体" w:cs="宋体"/>
                <w:szCs w:val="21"/>
              </w:rPr>
            </w:pPr>
            <w:r>
              <w:rPr>
                <w:rFonts w:hint="eastAsia" w:hAnsi="宋体" w:cs="宋体"/>
                <w:kern w:val="0"/>
                <w:szCs w:val="21"/>
              </w:rPr>
              <w:t>投标人无需提供任何证明材料，评标过程中由工作人员向评审委员会提供供应商诚信查询结果。</w:t>
            </w:r>
          </w:p>
        </w:tc>
      </w:tr>
      <w:bookmarkEnd w:id="8"/>
    </w:tbl>
    <w:p>
      <w:pPr>
        <w:tabs>
          <w:tab w:val="clear" w:pos="426"/>
        </w:tabs>
        <w:spacing w:line="240" w:lineRule="auto"/>
      </w:pPr>
    </w:p>
    <w:p>
      <w:pPr>
        <w:tabs>
          <w:tab w:val="clear" w:pos="426"/>
        </w:tabs>
        <w:spacing w:line="240" w:lineRule="auto"/>
        <w:rPr>
          <w:rFonts w:hint="eastAsia"/>
        </w:rPr>
      </w:pPr>
    </w:p>
    <w:p>
      <w:pPr>
        <w:tabs>
          <w:tab w:val="clear" w:pos="426"/>
        </w:tabs>
        <w:spacing w:line="240" w:lineRule="auto"/>
      </w:pPr>
      <w:r>
        <w:rPr>
          <w:rFonts w:hint="eastAsia"/>
        </w:rPr>
        <w:t>备注：</w:t>
      </w:r>
    </w:p>
    <w:p>
      <w:pPr>
        <w:tabs>
          <w:tab w:val="clear" w:pos="426"/>
        </w:tabs>
        <w:spacing w:line="240" w:lineRule="auto"/>
        <w:ind w:firstLine="420" w:firstLineChars="200"/>
      </w:pPr>
      <w:r>
        <w:t xml:space="preserve">1. </w:t>
      </w:r>
      <w:r>
        <w:rPr>
          <w:rFonts w:hint="eastAsia"/>
        </w:rPr>
        <w:t>缺项则该项为</w:t>
      </w:r>
      <w:r>
        <w:t>0分或不合格为0分。</w:t>
      </w:r>
    </w:p>
    <w:p>
      <w:pPr>
        <w:tabs>
          <w:tab w:val="clear" w:pos="426"/>
        </w:tabs>
        <w:spacing w:line="240" w:lineRule="auto"/>
        <w:ind w:firstLine="420" w:firstLineChars="200"/>
      </w:pPr>
      <w:r>
        <w:t>2. 价格、技术、商务部分为针对项目具体情况设置项目，累加满分为100分，固定额外加分部分为固定设置项，对涉及政策导向优先采购产品进行额外加分</w:t>
      </w:r>
      <w:r>
        <w:rPr>
          <w:rFonts w:hint="eastAsia"/>
        </w:rPr>
        <w:t>。</w:t>
      </w:r>
    </w:p>
    <w:p>
      <w:pPr>
        <w:tabs>
          <w:tab w:val="clear" w:pos="426"/>
        </w:tabs>
        <w:spacing w:line="240" w:lineRule="auto"/>
        <w:ind w:firstLine="420" w:firstLineChars="200"/>
      </w:pPr>
      <w:r>
        <w:t xml:space="preserve">3. </w:t>
      </w:r>
      <w:r>
        <w:rPr>
          <w:rFonts w:hint="eastAsia"/>
        </w:rPr>
        <w:t>综合以上分析比较，评委会将对各投标文件进行书面的量化评定，得分</w:t>
      </w:r>
      <w:r>
        <w:t>精确到小数点后两位</w:t>
      </w:r>
      <w:r>
        <w:rPr>
          <w:rFonts w:hint="eastAsia"/>
        </w:rPr>
        <w:t>。</w:t>
      </w:r>
    </w:p>
    <w:p>
      <w:pPr>
        <w:tabs>
          <w:tab w:val="clear" w:pos="426"/>
        </w:tabs>
        <w:spacing w:line="240" w:lineRule="auto"/>
        <w:ind w:firstLine="420" w:firstLineChars="200"/>
        <w:rPr>
          <w:rFonts w:ascii="Arial" w:hAnsi="Arial" w:cs="Times New Roman"/>
          <w:b/>
          <w:bCs/>
          <w:kern w:val="2"/>
          <w:sz w:val="36"/>
          <w:szCs w:val="32"/>
        </w:rPr>
      </w:pPr>
      <w:r>
        <w:t xml:space="preserve">4. </w:t>
      </w:r>
      <w:r>
        <w:rPr>
          <w:rFonts w:hint="eastAsia"/>
        </w:rPr>
        <w:t>客观评分项，所有评审专家应当统一打分分值；主观评分项，评审专家应当按照打分标准独立打分。</w:t>
      </w:r>
      <w:r>
        <w:br w:type="page"/>
      </w:r>
    </w:p>
    <w:p>
      <w:pPr>
        <w:pStyle w:val="81"/>
        <w:tabs>
          <w:tab w:val="clear" w:pos="426"/>
        </w:tabs>
      </w:pPr>
      <w:bookmarkStart w:id="34" w:name="_Toc32161"/>
      <w:r>
        <w:rPr>
          <w:rFonts w:hint="eastAsia"/>
        </w:rPr>
        <w:t>第一册专用条款</w:t>
      </w:r>
      <w:bookmarkEnd w:id="9"/>
      <w:bookmarkEnd w:id="34"/>
    </w:p>
    <w:p>
      <w:pPr>
        <w:pStyle w:val="62"/>
        <w:tabs>
          <w:tab w:val="clear" w:pos="426"/>
        </w:tabs>
      </w:pPr>
      <w:bookmarkStart w:id="35" w:name="_Toc30309"/>
      <w:bookmarkStart w:id="36" w:name="_Toc265483798"/>
      <w:bookmarkStart w:id="37" w:name="_Toc432592813"/>
      <w:r>
        <w:rPr>
          <w:rFonts w:hint="eastAsia"/>
        </w:rPr>
        <w:t>第一章 招标公告</w:t>
      </w:r>
      <w:bookmarkEnd w:id="35"/>
      <w:bookmarkEnd w:id="36"/>
      <w:bookmarkEnd w:id="37"/>
    </w:p>
    <w:p>
      <w:pPr>
        <w:widowControl w:val="0"/>
        <w:pBdr>
          <w:top w:val="single" w:color="auto" w:sz="4" w:space="1"/>
          <w:left w:val="single" w:color="auto" w:sz="4" w:space="4"/>
          <w:bottom w:val="single" w:color="auto" w:sz="4" w:space="1"/>
          <w:right w:val="single" w:color="auto" w:sz="4" w:space="4"/>
        </w:pBdr>
        <w:shd w:val="clear" w:color="auto" w:fill="auto"/>
        <w:tabs>
          <w:tab w:val="clear" w:pos="426"/>
        </w:tabs>
        <w:adjustRightInd/>
        <w:snapToGrid/>
        <w:spacing w:line="240" w:lineRule="auto"/>
        <w:ind w:firstLine="420" w:firstLineChars="200"/>
        <w:rPr>
          <w:rFonts w:cs="Times New Roman"/>
          <w:kern w:val="2"/>
          <w:szCs w:val="21"/>
        </w:rPr>
      </w:pPr>
      <w:bookmarkStart w:id="38" w:name="OLE_LINK38"/>
      <w:bookmarkStart w:id="39" w:name="_Hlk62652657"/>
      <w:r>
        <w:rPr>
          <w:rFonts w:hint="eastAsia" w:cs="Times New Roman"/>
          <w:kern w:val="2"/>
          <w:szCs w:val="21"/>
        </w:rPr>
        <w:t>项目概况</w:t>
      </w:r>
    </w:p>
    <w:p>
      <w:pPr>
        <w:widowControl w:val="0"/>
        <w:pBdr>
          <w:top w:val="single" w:color="auto" w:sz="4" w:space="1"/>
          <w:left w:val="single" w:color="auto" w:sz="4" w:space="4"/>
          <w:bottom w:val="single" w:color="auto" w:sz="4" w:space="1"/>
          <w:right w:val="single" w:color="auto" w:sz="4" w:space="4"/>
        </w:pBdr>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广东省深圳市宝安区消防救援大队2024年一级站(新建站)、二级站指挥调度系统设备购置项目的潜在投标人应在深圳市罗湖区清水河街道清水河社区清水河一路112号罗湖投资控股大厦裙楼401</w:t>
      </w:r>
      <w:r>
        <w:rPr>
          <w:rFonts w:cs="Times New Roman"/>
          <w:kern w:val="2"/>
          <w:szCs w:val="21"/>
        </w:rPr>
        <w:t>获取招标文件，并于</w:t>
      </w:r>
      <w:r>
        <w:rPr>
          <w:rFonts w:hint="eastAsia" w:cs="Times New Roman"/>
          <w:kern w:val="2"/>
          <w:szCs w:val="21"/>
        </w:rPr>
        <w:t>2024年</w:t>
      </w:r>
      <w:r>
        <w:rPr>
          <w:rFonts w:hint="eastAsia" w:cs="Times New Roman"/>
          <w:kern w:val="2"/>
          <w:szCs w:val="21"/>
          <w:lang w:val="en-US" w:eastAsia="zh-CN"/>
        </w:rPr>
        <w:t>10</w:t>
      </w:r>
      <w:r>
        <w:rPr>
          <w:rFonts w:hint="eastAsia" w:cs="Times New Roman"/>
          <w:kern w:val="2"/>
          <w:szCs w:val="21"/>
        </w:rPr>
        <w:t>月</w:t>
      </w:r>
      <w:r>
        <w:rPr>
          <w:rFonts w:hint="eastAsia" w:cs="Times New Roman"/>
          <w:kern w:val="2"/>
          <w:szCs w:val="21"/>
          <w:lang w:val="en-US" w:eastAsia="zh-CN"/>
        </w:rPr>
        <w:t>11</w:t>
      </w:r>
      <w:r>
        <w:rPr>
          <w:rFonts w:hint="eastAsia" w:cs="Times New Roman"/>
          <w:bCs/>
          <w:kern w:val="2"/>
          <w:szCs w:val="21"/>
        </w:rPr>
        <w:t>日</w:t>
      </w:r>
      <w:r>
        <w:rPr>
          <w:rFonts w:hint="eastAsia" w:cs="Times New Roman"/>
          <w:bCs/>
          <w:kern w:val="2"/>
          <w:szCs w:val="21"/>
          <w:lang w:val="en-US" w:eastAsia="zh-CN"/>
        </w:rPr>
        <w:t>09</w:t>
      </w:r>
      <w:r>
        <w:rPr>
          <w:rFonts w:cs="Times New Roman"/>
          <w:bCs/>
          <w:kern w:val="2"/>
          <w:szCs w:val="21"/>
        </w:rPr>
        <w:t>点</w:t>
      </w:r>
      <w:r>
        <w:rPr>
          <w:rFonts w:hint="eastAsia" w:cs="Times New Roman"/>
          <w:bCs/>
          <w:kern w:val="2"/>
          <w:szCs w:val="21"/>
          <w:lang w:val="en-US" w:eastAsia="zh-CN"/>
        </w:rPr>
        <w:t>3</w:t>
      </w:r>
      <w:r>
        <w:rPr>
          <w:rFonts w:cs="Times New Roman"/>
          <w:bCs/>
          <w:kern w:val="2"/>
          <w:szCs w:val="21"/>
        </w:rPr>
        <w:t>0分（北京时间）前递交投标文件</w:t>
      </w:r>
      <w:r>
        <w:rPr>
          <w:rFonts w:hint="eastAsia" w:cs="Times New Roman"/>
          <w:kern w:val="2"/>
          <w:szCs w:val="21"/>
        </w:rPr>
        <w:t>。</w:t>
      </w:r>
    </w:p>
    <w:p>
      <w:pPr>
        <w:widowControl w:val="0"/>
        <w:shd w:val="clear" w:color="auto" w:fill="auto"/>
        <w:tabs>
          <w:tab w:val="clear" w:pos="426"/>
        </w:tabs>
        <w:adjustRightInd/>
        <w:snapToGrid/>
        <w:spacing w:line="240" w:lineRule="auto"/>
        <w:rPr>
          <w:rFonts w:cs="Times New Roman"/>
          <w:kern w:val="2"/>
          <w:szCs w:val="21"/>
        </w:rPr>
      </w:pPr>
    </w:p>
    <w:p>
      <w:pPr>
        <w:rPr>
          <w:b/>
          <w:kern w:val="2"/>
          <w:szCs w:val="21"/>
        </w:rPr>
      </w:pPr>
      <w:bookmarkStart w:id="40" w:name="_Toc35393621"/>
      <w:bookmarkStart w:id="41" w:name="_Toc35393790"/>
      <w:bookmarkStart w:id="42" w:name="_Toc28359002"/>
      <w:bookmarkStart w:id="43" w:name="_Toc28359079"/>
      <w:bookmarkStart w:id="44" w:name="_Hlk24379207"/>
      <w:r>
        <w:rPr>
          <w:rFonts w:hint="eastAsia"/>
          <w:b/>
          <w:kern w:val="2"/>
          <w:szCs w:val="21"/>
        </w:rPr>
        <w:t>一、项目基本情况</w:t>
      </w:r>
      <w:bookmarkEnd w:id="40"/>
      <w:bookmarkEnd w:id="41"/>
      <w:bookmarkEnd w:id="42"/>
      <w:bookmarkEnd w:id="43"/>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项目编号：SSZX2024-345</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项目名称：广东省深圳市宝安区消防救援大队2024年一级站(新建站)、二级站指挥调度系统设备购置项目</w:t>
      </w:r>
    </w:p>
    <w:bookmarkEnd w:id="44"/>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 xml:space="preserve">预算金额：487.351000 </w:t>
      </w:r>
      <w:r>
        <w:rPr>
          <w:rFonts w:hint="eastAsia"/>
          <w:szCs w:val="21"/>
        </w:rPr>
        <w:t>万元（人民币）</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 xml:space="preserve">最高限价：487.351000 </w:t>
      </w:r>
      <w:r>
        <w:rPr>
          <w:rFonts w:hint="eastAsia"/>
          <w:szCs w:val="21"/>
        </w:rPr>
        <w:t>万元（人民币）</w:t>
      </w:r>
    </w:p>
    <w:p>
      <w:pPr>
        <w:widowControl w:val="0"/>
        <w:shd w:val="clear" w:color="auto" w:fill="auto"/>
        <w:tabs>
          <w:tab w:val="clear" w:pos="426"/>
        </w:tabs>
        <w:adjustRightInd/>
        <w:snapToGrid/>
        <w:ind w:firstLine="420" w:firstLineChars="200"/>
        <w:rPr>
          <w:rFonts w:cs="Times New Roman"/>
          <w:kern w:val="2"/>
          <w:szCs w:val="21"/>
          <w:u w:val="single"/>
        </w:rPr>
      </w:pPr>
      <w:r>
        <w:rPr>
          <w:rFonts w:hint="eastAsia" w:cs="Times New Roman"/>
          <w:kern w:val="2"/>
          <w:szCs w:val="21"/>
        </w:rPr>
        <w:t>采购需求：</w:t>
      </w:r>
    </w:p>
    <w:tbl>
      <w:tblPr>
        <w:tblStyle w:val="85"/>
        <w:tblW w:w="505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446"/>
        <w:gridCol w:w="901"/>
        <w:gridCol w:w="804"/>
        <w:gridCol w:w="4463"/>
        <w:gridCol w:w="10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6" w:hRule="atLeast"/>
        </w:trPr>
        <w:tc>
          <w:tcPr>
            <w:tcW w:w="1265"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标的名称</w:t>
            </w:r>
          </w:p>
        </w:tc>
        <w:tc>
          <w:tcPr>
            <w:tcW w:w="46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数量</w:t>
            </w:r>
          </w:p>
        </w:tc>
        <w:tc>
          <w:tcPr>
            <w:tcW w:w="41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单位</w:t>
            </w:r>
          </w:p>
        </w:tc>
        <w:tc>
          <w:tcPr>
            <w:tcW w:w="2308"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szCs w:val="21"/>
              </w:rPr>
              <w:t>简要技术需求</w:t>
            </w:r>
          </w:p>
        </w:tc>
        <w:tc>
          <w:tcPr>
            <w:tcW w:w="54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1265" w:type="pct"/>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具体详见“货物清单明细”</w:t>
            </w:r>
          </w:p>
        </w:tc>
        <w:tc>
          <w:tcPr>
            <w:tcW w:w="466" w:type="pct"/>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w:t>
            </w:r>
          </w:p>
        </w:tc>
        <w:tc>
          <w:tcPr>
            <w:tcW w:w="416" w:type="pct"/>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批</w:t>
            </w:r>
          </w:p>
        </w:tc>
        <w:tc>
          <w:tcPr>
            <w:tcW w:w="2308" w:type="pct"/>
            <w:tcBorders>
              <w:top w:val="single" w:color="auto" w:sz="4" w:space="0"/>
              <w:left w:val="single" w:color="auto" w:sz="4" w:space="0"/>
              <w:bottom w:val="single" w:color="auto" w:sz="4" w:space="0"/>
              <w:right w:val="single" w:color="auto" w:sz="4" w:space="0"/>
            </w:tcBorders>
            <w:vAlign w:val="center"/>
          </w:tcPr>
          <w:p>
            <w:pPr>
              <w:pStyle w:val="425"/>
              <w:rPr>
                <w:rFonts w:hAnsi="宋体"/>
                <w:sz w:val="20"/>
                <w:szCs w:val="20"/>
              </w:rPr>
            </w:pPr>
            <w:r>
              <w:rPr>
                <w:rFonts w:hint="eastAsia" w:hAnsi="宋体"/>
                <w:sz w:val="20"/>
                <w:szCs w:val="20"/>
              </w:rPr>
              <w:t>本项目建设内容主要包括宝安消防救援大队下辖的16个消防救援站和17个加强型分队的指挥调度系统设备购置。其中消防救援站主要包括指挥视频会议系统及相关配套设备的安装调试，加强型分队则除了指挥视频会议系统外，还包括投影设备、会议扩声设备及相关配套设备的安装调试。</w:t>
            </w:r>
          </w:p>
        </w:tc>
        <w:tc>
          <w:tcPr>
            <w:tcW w:w="544" w:type="pct"/>
            <w:tcBorders>
              <w:top w:val="single" w:color="auto" w:sz="4" w:space="0"/>
              <w:left w:val="single" w:color="auto" w:sz="4" w:space="0"/>
              <w:bottom w:val="single" w:color="auto" w:sz="4" w:space="0"/>
              <w:right w:val="single" w:color="auto" w:sz="4" w:space="0"/>
            </w:tcBorders>
            <w:vAlign w:val="center"/>
          </w:tcPr>
          <w:p>
            <w:pPr>
              <w:pStyle w:val="425"/>
              <w:spacing w:line="240" w:lineRule="auto"/>
              <w:jc w:val="center"/>
              <w:rPr>
                <w:rFonts w:hAnsi="宋体"/>
                <w:szCs w:val="21"/>
              </w:rPr>
            </w:pPr>
            <w:r>
              <w:rPr>
                <w:rFonts w:hint="eastAsia" w:hAnsi="宋体"/>
                <w:szCs w:val="21"/>
              </w:rPr>
              <w:t>不接受进口</w:t>
            </w:r>
          </w:p>
        </w:tc>
      </w:tr>
    </w:tbl>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合同履约期限：自合同签订之日起90日内交付并验收</w:t>
      </w:r>
      <w:r>
        <w:rPr>
          <w:rFonts w:hint="eastAsia" w:cs="Times New Roman"/>
          <w:bCs/>
          <w:kern w:val="2"/>
          <w:szCs w:val="21"/>
        </w:rPr>
        <w:t>。</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本项目（不接受）联合体投标。</w:t>
      </w:r>
    </w:p>
    <w:p>
      <w:pPr>
        <w:rPr>
          <w:b/>
          <w:kern w:val="2"/>
          <w:szCs w:val="21"/>
        </w:rPr>
      </w:pPr>
      <w:bookmarkStart w:id="45" w:name="_Toc28359003"/>
      <w:bookmarkStart w:id="46" w:name="_Toc35393622"/>
      <w:bookmarkStart w:id="47" w:name="_Toc35393791"/>
      <w:bookmarkStart w:id="48" w:name="_Toc28359080"/>
    </w:p>
    <w:p>
      <w:pPr>
        <w:rPr>
          <w:b/>
          <w:kern w:val="2"/>
          <w:szCs w:val="21"/>
        </w:rPr>
      </w:pPr>
      <w:r>
        <w:rPr>
          <w:rFonts w:hint="eastAsia"/>
          <w:b/>
          <w:kern w:val="2"/>
          <w:szCs w:val="21"/>
        </w:rPr>
        <w:t>二、申请人的资格要求</w:t>
      </w:r>
      <w:bookmarkEnd w:id="45"/>
      <w:bookmarkEnd w:id="46"/>
      <w:bookmarkEnd w:id="47"/>
      <w:bookmarkEnd w:id="48"/>
      <w:r>
        <w:rPr>
          <w:rFonts w:hint="eastAsia"/>
          <w:b/>
          <w:kern w:val="2"/>
          <w:szCs w:val="21"/>
        </w:rPr>
        <w:t>：</w:t>
      </w:r>
    </w:p>
    <w:p>
      <w:pPr>
        <w:widowControl w:val="0"/>
        <w:shd w:val="clear" w:color="auto" w:fill="auto"/>
        <w:tabs>
          <w:tab w:val="clear" w:pos="426"/>
        </w:tabs>
        <w:adjustRightInd/>
        <w:snapToGrid/>
        <w:ind w:firstLine="420" w:firstLineChars="200"/>
        <w:rPr>
          <w:rFonts w:cs="Times New Roman"/>
          <w:kern w:val="2"/>
          <w:szCs w:val="21"/>
        </w:rPr>
      </w:pPr>
      <w:bookmarkStart w:id="49" w:name="_Toc35393623"/>
      <w:bookmarkStart w:id="50" w:name="_Toc35393792"/>
      <w:bookmarkStart w:id="51" w:name="_Toc28359081"/>
      <w:bookmarkStart w:id="52" w:name="_Toc28359004"/>
      <w:r>
        <w:rPr>
          <w:rFonts w:hint="eastAsia" w:cs="Times New Roman"/>
          <w:kern w:val="2"/>
          <w:szCs w:val="21"/>
        </w:rPr>
        <w:t>1.满足《中华人民共和国政府采购法》第二十二条规定；</w:t>
      </w:r>
    </w:p>
    <w:p>
      <w:pPr>
        <w:widowControl w:val="0"/>
        <w:shd w:val="clear" w:color="auto" w:fill="auto"/>
        <w:tabs>
          <w:tab w:val="clear" w:pos="426"/>
        </w:tabs>
        <w:adjustRightInd/>
        <w:snapToGrid/>
        <w:ind w:firstLine="420" w:firstLineChars="200"/>
        <w:rPr>
          <w:rFonts w:cs="Times New Roman"/>
          <w:kern w:val="2"/>
          <w:szCs w:val="21"/>
        </w:rPr>
      </w:pPr>
      <w:bookmarkStart w:id="53" w:name="OLE_LINK16"/>
      <w:bookmarkStart w:id="54" w:name="_Hlk141433537"/>
      <w:r>
        <w:rPr>
          <w:rFonts w:hint="eastAsia" w:cs="Times New Roman"/>
          <w:kern w:val="2"/>
          <w:szCs w:val="21"/>
        </w:rPr>
        <w:t>2.落实政府</w:t>
      </w:r>
      <w:bookmarkEnd w:id="53"/>
      <w:r>
        <w:rPr>
          <w:rFonts w:hint="eastAsia" w:cs="Times New Roman"/>
          <w:kern w:val="2"/>
          <w:szCs w:val="21"/>
        </w:rPr>
        <w:t>采购政策需满足的资格要求：</w:t>
      </w:r>
      <w:bookmarkEnd w:id="54"/>
    </w:p>
    <w:p>
      <w:pPr>
        <w:widowControl w:val="0"/>
        <w:shd w:val="clear" w:color="auto" w:fill="auto"/>
        <w:tabs>
          <w:tab w:val="clear" w:pos="426"/>
        </w:tabs>
        <w:adjustRightInd/>
        <w:snapToGrid/>
        <w:ind w:firstLine="420" w:firstLineChars="200"/>
        <w:rPr>
          <w:rFonts w:cs="Times New Roman"/>
          <w:kern w:val="2"/>
          <w:szCs w:val="21"/>
        </w:rPr>
      </w:pPr>
      <w:bookmarkStart w:id="55" w:name="OLE_LINK14"/>
      <w:r>
        <w:rPr>
          <w:rFonts w:hint="eastAsia" w:cs="Times New Roman"/>
          <w:kern w:val="2"/>
          <w:szCs w:val="21"/>
        </w:rPr>
        <w:t>本项目预留预算总额的30%专门面向中小企业采购，获得采购合同的供应商将采购项目中的30%分包给一家或者多家中小企业</w:t>
      </w:r>
      <w:r>
        <w:rPr>
          <w:rFonts w:hint="eastAsia" w:cs="Times New Roman"/>
          <w:kern w:val="2"/>
          <w:szCs w:val="21"/>
          <w:lang w:eastAsia="zh-CN"/>
        </w:rPr>
        <w:t>， 其中预留给小微企业的比例不低于60%</w:t>
      </w:r>
      <w:r>
        <w:rPr>
          <w:rFonts w:hint="eastAsia" w:cs="Times New Roman"/>
          <w:kern w:val="2"/>
          <w:szCs w:val="21"/>
        </w:rPr>
        <w:t>。</w:t>
      </w:r>
      <w:r>
        <w:rPr>
          <w:rFonts w:hint="eastAsia" w:ascii="宋体" w:hAnsi="宋体" w:eastAsia="宋体" w:cs="Times New Roman"/>
          <w:i w:val="0"/>
          <w:iCs w:val="0"/>
          <w:caps w:val="0"/>
          <w:spacing w:val="0"/>
          <w:kern w:val="2"/>
          <w:sz w:val="21"/>
          <w:szCs w:val="21"/>
          <w:shd w:val="clear"/>
        </w:rPr>
        <w:t>接受分包合同的中小企业与分包企业之间不得存在直接控股、管理关系。</w:t>
      </w:r>
      <w:r>
        <w:rPr>
          <w:rFonts w:hint="eastAsia" w:cs="Times New Roman"/>
          <w:kern w:val="2"/>
          <w:szCs w:val="21"/>
        </w:rPr>
        <w:t>采购标的对应的中小企业划分标准所属行业：</w:t>
      </w:r>
      <w:bookmarkStart w:id="56" w:name="OLE_LINK13"/>
      <w:r>
        <w:rPr>
          <w:rFonts w:hint="eastAsia" w:cs="Times New Roman"/>
          <w:kern w:val="2"/>
          <w:szCs w:val="21"/>
        </w:rPr>
        <w:t>软件和信息技术服务业</w:t>
      </w:r>
      <w:bookmarkEnd w:id="56"/>
      <w:r>
        <w:rPr>
          <w:rFonts w:hint="eastAsia" w:cs="Times New Roman"/>
          <w:kern w:val="2"/>
          <w:szCs w:val="21"/>
        </w:rPr>
        <w:t>。（提供符合要求的《</w:t>
      </w:r>
      <w:bookmarkStart w:id="57" w:name="OLE_LINK12"/>
      <w:r>
        <w:rPr>
          <w:rFonts w:hint="eastAsia" w:cs="Times New Roman"/>
          <w:kern w:val="2"/>
          <w:szCs w:val="21"/>
        </w:rPr>
        <w:t>中小企业</w:t>
      </w:r>
      <w:bookmarkEnd w:id="57"/>
      <w:r>
        <w:rPr>
          <w:rFonts w:hint="eastAsia" w:cs="Times New Roman"/>
          <w:kern w:val="2"/>
          <w:szCs w:val="21"/>
        </w:rPr>
        <w:t>声明函》，货物制造商必须属于中型企业或小型企业或微型企业；如货物制造商为残疾人福利性单位或监狱企业，视同小型、微型企业，提供《残疾人福利性单位声明函》或《监狱企业声明函》及监狱企业证明文件亦视为符合</w:t>
      </w:r>
      <w:r>
        <w:rPr>
          <w:rFonts w:hint="eastAsia" w:cs="Times New Roman"/>
          <w:kern w:val="2"/>
          <w:szCs w:val="21"/>
          <w:lang w:eastAsia="zh-CN"/>
        </w:rPr>
        <w:t>。</w:t>
      </w:r>
      <w:r>
        <w:rPr>
          <w:rFonts w:hint="eastAsia" w:cs="Times New Roman"/>
          <w:kern w:val="2"/>
          <w:szCs w:val="21"/>
          <w:lang w:val="en-US" w:eastAsia="zh-CN"/>
        </w:rPr>
        <w:t>如分包，还</w:t>
      </w:r>
      <w:r>
        <w:rPr>
          <w:rFonts w:hint="eastAsia" w:cs="Times New Roman"/>
          <w:kern w:val="2"/>
          <w:szCs w:val="21"/>
          <w:highlight w:val="none"/>
          <w:u w:val="none"/>
        </w:rPr>
        <w:t>须提供《分包意向协议》（格式仅供参考，需加盖投标人与各分包承担主体的公章，并在协议中明确各方的合同金额比例，要求由中小微企业承担的合同金额比例符合预留份额的比例要求）</w:t>
      </w:r>
      <w:r>
        <w:rPr>
          <w:rFonts w:hint="eastAsia" w:cs="Times New Roman"/>
          <w:kern w:val="2"/>
          <w:szCs w:val="21"/>
        </w:rPr>
        <w:t>。</w:t>
      </w:r>
    </w:p>
    <w:bookmarkEnd w:id="55"/>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3.本项目的特定资格要求：</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 xml:space="preserve">（1）投标人必须是具有独立法人资格或为具有独立承担民事责任能力的其它组织（提供营业执照或事业单位法人证书或其他证明材料复印件加盖公章，原件备查）； </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（2）参与本项目政府采购活动时不存在被有关部门禁止参与政府采购活动且在有效期内的情况（由供应商在《政府采购投标及履约承诺函》中作出声明，加盖公章）；</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（3）具备《中华人民共和国政府采购法》第二十二条第一款的条件（由供应商在《政府采购投标及履约承诺函》中作出声明，加盖公章）；</w:t>
      </w:r>
    </w:p>
    <w:p>
      <w:pPr>
        <w:widowControl w:val="0"/>
        <w:shd w:val="clear" w:color="auto" w:fill="auto"/>
        <w:tabs>
          <w:tab w:val="clear" w:pos="426"/>
        </w:tabs>
        <w:adjustRightInd/>
        <w:snapToGrid/>
        <w:ind w:firstLine="420" w:firstLineChars="200"/>
        <w:rPr>
          <w:rFonts w:hint="eastAsia" w:eastAsia="宋体" w:cs="Times New Roman"/>
          <w:kern w:val="2"/>
          <w:szCs w:val="21"/>
          <w:lang w:eastAsia="zh-CN"/>
        </w:rPr>
      </w:pPr>
      <w:r>
        <w:rPr>
          <w:rFonts w:hint="eastAsia" w:cs="Times New Roman"/>
          <w:kern w:val="2"/>
          <w:szCs w:val="21"/>
        </w:rPr>
        <w:t>（4）未被列入失信被执行人、重大税收违法失信主体、政府采购严重违法失信行为记录名单（由供应商在《政府采购投标及履约承诺函》中作出声明，加盖公章）【注：采购代理机构将通过“信用中国”中“信用服务”栏的“重大税收违法失信主体”“失信被执行人”、“中国政府采购网”中的“政府采购严重违法失信行为记录名单”查询供应商的信用信息，相关信息以开标当日的查询结果为准。信用信息查询记录将作为项目档案材料一并保存。】</w:t>
      </w:r>
      <w:r>
        <w:rPr>
          <w:rFonts w:hint="eastAsia" w:cs="Times New Roman"/>
          <w:kern w:val="2"/>
          <w:szCs w:val="21"/>
          <w:lang w:eastAsia="zh-CN"/>
        </w:rPr>
        <w:t>；</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5）单位法定代表人（负责人）为同一人或者存在直接控股、管理关系的不同供应商，不得同时参加本项目投标（由供应商在《政府采购投标及履约承诺函》中作出声明，加盖公章）【注：采购代理机构将通过国家企业信用信息公示系统(https://www.gsxt.gov.cn/index.html）、机关赋码和事业单位登记管理网（http://gjsy.gov.cn/sydwfrxxcx/)、全国社会组织信用信息公示平台（https://xxgs.chinanpo.mca.gov.cn/gsxt/newList 等网站查询供应商信息，相关信息以截标当日的查询结果为准】；</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6）不同单位的法定代表人（负责人）、主要经营负责人、项目投标授权代表人、项目负责人、主要技术人员不得为同一人或同一单位或在同一单位缴纳社会保险。（由供应商在《政府采购投标及履约承诺函》中作出声明，并提供人员情况表及人员开标前一个月的社保缴纳情况，加盖公章）；</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（7）为本项目提供整体设计、规范编制或者项目管理、监理、检测等服务的供应商，不得参加本项目投标。（由供应商在《政府采购投标及履约承诺函》中作出声明，加盖公章）；</w:t>
      </w:r>
    </w:p>
    <w:p>
      <w:pPr>
        <w:widowControl w:val="0"/>
        <w:shd w:val="clear" w:color="auto" w:fill="auto"/>
        <w:tabs>
          <w:tab w:val="clear" w:pos="426"/>
        </w:tabs>
        <w:adjustRightInd/>
        <w:snapToGrid/>
        <w:ind w:firstLine="420" w:firstLineChars="200"/>
        <w:rPr>
          <w:kern w:val="2"/>
          <w:szCs w:val="21"/>
        </w:rPr>
      </w:pPr>
      <w:bookmarkStart w:id="58" w:name="OLE_LINK17"/>
      <w:r>
        <w:rPr>
          <w:rFonts w:hint="eastAsia" w:cs="Times New Roman"/>
          <w:kern w:val="2"/>
          <w:szCs w:val="21"/>
        </w:rPr>
        <w:t>（8）</w:t>
      </w:r>
      <w:bookmarkStart w:id="59" w:name="OLE_LINK48"/>
      <w:r>
        <w:rPr>
          <w:rFonts w:hint="eastAsia" w:cs="Times New Roman"/>
          <w:kern w:val="2"/>
          <w:szCs w:val="21"/>
        </w:rPr>
        <w:t>本项目不接受联合体投标，不接受投标人选用进口产品参与投标，不允许转包、</w:t>
      </w:r>
      <w:bookmarkStart w:id="60" w:name="OLE_LINK15"/>
      <w:bookmarkStart w:id="61" w:name="OLE_LINK18"/>
      <w:r>
        <w:rPr>
          <w:rFonts w:hint="eastAsia" w:cs="Times New Roman"/>
          <w:kern w:val="2"/>
          <w:szCs w:val="21"/>
        </w:rPr>
        <w:t>允许主要针对中小企业进行分</w:t>
      </w:r>
      <w:bookmarkEnd w:id="60"/>
      <w:r>
        <w:rPr>
          <w:rFonts w:hint="eastAsia" w:cs="Times New Roman"/>
          <w:kern w:val="2"/>
          <w:szCs w:val="21"/>
        </w:rPr>
        <w:t>包</w:t>
      </w:r>
      <w:bookmarkEnd w:id="61"/>
      <w:r>
        <w:rPr>
          <w:rFonts w:hint="eastAsia" w:cs="Times New Roman"/>
          <w:kern w:val="2"/>
          <w:szCs w:val="21"/>
        </w:rPr>
        <w:t>（由供应商在《政府采购投标及履约承诺函》中作出声明，加盖公章</w:t>
      </w:r>
      <w:bookmarkEnd w:id="59"/>
      <w:r>
        <w:rPr>
          <w:rFonts w:hint="eastAsia" w:cs="Times New Roman"/>
          <w:kern w:val="2"/>
          <w:szCs w:val="21"/>
        </w:rPr>
        <w:t>）。</w:t>
      </w:r>
    </w:p>
    <w:bookmarkEnd w:id="58"/>
    <w:p>
      <w:pPr>
        <w:rPr>
          <w:bCs/>
          <w:kern w:val="2"/>
          <w:szCs w:val="21"/>
        </w:rPr>
      </w:pPr>
    </w:p>
    <w:p>
      <w:pPr>
        <w:rPr>
          <w:b/>
          <w:kern w:val="2"/>
          <w:szCs w:val="21"/>
        </w:rPr>
      </w:pPr>
      <w:r>
        <w:rPr>
          <w:rFonts w:hint="eastAsia"/>
          <w:b/>
          <w:kern w:val="2"/>
          <w:szCs w:val="21"/>
        </w:rPr>
        <w:t>三、获取招标文件</w:t>
      </w:r>
      <w:bookmarkEnd w:id="49"/>
      <w:bookmarkEnd w:id="50"/>
      <w:bookmarkEnd w:id="51"/>
      <w:bookmarkEnd w:id="52"/>
    </w:p>
    <w:p>
      <w:pPr>
        <w:widowControl w:val="0"/>
        <w:shd w:val="clear" w:color="auto" w:fill="auto"/>
        <w:tabs>
          <w:tab w:val="clear" w:pos="426"/>
        </w:tabs>
        <w:adjustRightInd/>
        <w:snapToGrid/>
        <w:ind w:firstLine="540"/>
        <w:rPr>
          <w:kern w:val="2"/>
          <w:szCs w:val="21"/>
          <w:u w:val="none"/>
        </w:rPr>
      </w:pPr>
      <w:r>
        <w:rPr>
          <w:rFonts w:hint="eastAsia"/>
          <w:kern w:val="2"/>
          <w:szCs w:val="21"/>
        </w:rPr>
        <w:t>时间</w:t>
      </w:r>
      <w:r>
        <w:rPr>
          <w:rFonts w:hint="eastAsia"/>
          <w:kern w:val="2"/>
          <w:szCs w:val="21"/>
          <w:u w:val="none"/>
        </w:rPr>
        <w:t>：</w:t>
      </w:r>
      <w:r>
        <w:rPr>
          <w:kern w:val="2"/>
          <w:szCs w:val="21"/>
          <w:u w:val="none"/>
        </w:rPr>
        <w:t>202</w:t>
      </w:r>
      <w:r>
        <w:rPr>
          <w:rFonts w:hint="eastAsia"/>
          <w:kern w:val="2"/>
          <w:szCs w:val="21"/>
          <w:u w:val="none"/>
        </w:rPr>
        <w:t>4年</w:t>
      </w:r>
      <w:r>
        <w:rPr>
          <w:rFonts w:hint="eastAsia"/>
          <w:kern w:val="2"/>
          <w:szCs w:val="21"/>
          <w:u w:val="none"/>
          <w:lang w:val="en-US" w:eastAsia="zh-CN"/>
        </w:rPr>
        <w:t>9</w:t>
      </w:r>
      <w:r>
        <w:rPr>
          <w:rFonts w:hint="eastAsia"/>
          <w:kern w:val="2"/>
          <w:szCs w:val="21"/>
          <w:u w:val="none"/>
        </w:rPr>
        <w:t>月</w:t>
      </w:r>
      <w:r>
        <w:rPr>
          <w:rFonts w:hint="eastAsia"/>
          <w:kern w:val="2"/>
          <w:szCs w:val="21"/>
          <w:u w:val="none"/>
          <w:lang w:val="en-US" w:eastAsia="zh-CN"/>
        </w:rPr>
        <w:t>21</w:t>
      </w:r>
      <w:r>
        <w:rPr>
          <w:rFonts w:hint="eastAsia"/>
          <w:kern w:val="2"/>
          <w:szCs w:val="21"/>
          <w:u w:val="none"/>
        </w:rPr>
        <w:t>日至2024年</w:t>
      </w:r>
      <w:r>
        <w:rPr>
          <w:rFonts w:hint="eastAsia"/>
          <w:kern w:val="2"/>
          <w:szCs w:val="21"/>
          <w:u w:val="none"/>
          <w:lang w:val="en-US" w:eastAsia="zh-CN"/>
        </w:rPr>
        <w:t>9</w:t>
      </w:r>
      <w:r>
        <w:rPr>
          <w:rFonts w:hint="eastAsia"/>
          <w:kern w:val="2"/>
          <w:szCs w:val="21"/>
          <w:u w:val="none"/>
        </w:rPr>
        <w:t>月</w:t>
      </w:r>
      <w:r>
        <w:rPr>
          <w:rFonts w:hint="eastAsia"/>
          <w:kern w:val="2"/>
          <w:szCs w:val="21"/>
          <w:u w:val="none"/>
          <w:lang w:val="en-US" w:eastAsia="zh-CN"/>
        </w:rPr>
        <w:t>30</w:t>
      </w:r>
      <w:r>
        <w:rPr>
          <w:rFonts w:hint="eastAsia"/>
          <w:kern w:val="2"/>
          <w:szCs w:val="21"/>
          <w:u w:val="none"/>
        </w:rPr>
        <w:t>日，每天上午</w:t>
      </w:r>
      <w:r>
        <w:rPr>
          <w:kern w:val="2"/>
          <w:szCs w:val="21"/>
          <w:u w:val="none"/>
        </w:rPr>
        <w:t>9:00</w:t>
      </w:r>
      <w:r>
        <w:rPr>
          <w:rFonts w:hint="eastAsia"/>
          <w:kern w:val="2"/>
          <w:szCs w:val="21"/>
          <w:u w:val="none"/>
        </w:rPr>
        <w:t>至</w:t>
      </w:r>
      <w:r>
        <w:rPr>
          <w:kern w:val="2"/>
          <w:szCs w:val="21"/>
          <w:u w:val="none"/>
        </w:rPr>
        <w:t>12:00</w:t>
      </w:r>
      <w:r>
        <w:rPr>
          <w:rFonts w:hint="eastAsia"/>
          <w:kern w:val="2"/>
          <w:szCs w:val="21"/>
          <w:u w:val="none"/>
        </w:rPr>
        <w:t>，下午</w:t>
      </w:r>
      <w:r>
        <w:rPr>
          <w:kern w:val="2"/>
          <w:szCs w:val="21"/>
          <w:u w:val="none"/>
        </w:rPr>
        <w:t>14:00</w:t>
      </w:r>
      <w:r>
        <w:rPr>
          <w:rFonts w:hint="eastAsia"/>
          <w:kern w:val="2"/>
          <w:szCs w:val="21"/>
          <w:u w:val="none"/>
        </w:rPr>
        <w:t>至</w:t>
      </w:r>
      <w:r>
        <w:rPr>
          <w:kern w:val="2"/>
          <w:szCs w:val="21"/>
          <w:u w:val="none"/>
        </w:rPr>
        <w:t>18:00</w:t>
      </w:r>
      <w:r>
        <w:rPr>
          <w:rFonts w:hint="eastAsia"/>
          <w:kern w:val="2"/>
          <w:szCs w:val="21"/>
          <w:u w:val="none"/>
        </w:rPr>
        <w:t>（北京时间，</w:t>
      </w:r>
      <w:r>
        <w:rPr>
          <w:kern w:val="2"/>
          <w:szCs w:val="21"/>
          <w:u w:val="none"/>
        </w:rPr>
        <w:t>法定节假日</w:t>
      </w:r>
      <w:r>
        <w:rPr>
          <w:rFonts w:hint="eastAsia"/>
          <w:kern w:val="2"/>
          <w:szCs w:val="21"/>
          <w:u w:val="none"/>
        </w:rPr>
        <w:t>除外）</w:t>
      </w:r>
    </w:p>
    <w:p>
      <w:pPr>
        <w:widowControl w:val="0"/>
        <w:shd w:val="clear" w:color="auto" w:fill="auto"/>
        <w:tabs>
          <w:tab w:val="clear" w:pos="426"/>
        </w:tabs>
        <w:adjustRightInd/>
        <w:snapToGrid/>
        <w:ind w:firstLine="540"/>
        <w:rPr>
          <w:kern w:val="2"/>
          <w:szCs w:val="21"/>
          <w:u w:val="single"/>
        </w:rPr>
      </w:pPr>
      <w:r>
        <w:rPr>
          <w:rFonts w:hint="eastAsia"/>
          <w:kern w:val="2"/>
          <w:szCs w:val="21"/>
        </w:rPr>
        <w:t>地点：</w:t>
      </w:r>
      <w:r>
        <w:rPr>
          <w:rFonts w:hint="eastAsia" w:cs="Times New Roman"/>
          <w:kern w:val="2"/>
          <w:szCs w:val="21"/>
        </w:rPr>
        <w:t>深圳市罗湖区清水河街道清水河社区清水河一路112号罗湖投资控股大厦裙楼401</w:t>
      </w:r>
    </w:p>
    <w:p>
      <w:pPr>
        <w:widowControl w:val="0"/>
        <w:shd w:val="clear" w:color="auto" w:fill="auto"/>
        <w:tabs>
          <w:tab w:val="clear" w:pos="426"/>
        </w:tabs>
        <w:adjustRightInd/>
        <w:snapToGrid/>
        <w:ind w:firstLine="540"/>
        <w:rPr>
          <w:kern w:val="2"/>
          <w:szCs w:val="21"/>
          <w:u w:val="single"/>
        </w:rPr>
      </w:pPr>
      <w:r>
        <w:rPr>
          <w:rFonts w:hint="eastAsia"/>
          <w:kern w:val="2"/>
          <w:szCs w:val="21"/>
        </w:rPr>
        <w:t>方式：现场购买</w:t>
      </w:r>
    </w:p>
    <w:p>
      <w:pPr>
        <w:widowControl w:val="0"/>
        <w:shd w:val="clear" w:color="auto" w:fill="auto"/>
        <w:tabs>
          <w:tab w:val="clear" w:pos="426"/>
        </w:tabs>
        <w:adjustRightInd/>
        <w:snapToGrid/>
        <w:ind w:firstLine="540"/>
        <w:rPr>
          <w:kern w:val="2"/>
          <w:szCs w:val="21"/>
        </w:rPr>
      </w:pPr>
      <w:r>
        <w:rPr>
          <w:rFonts w:hint="eastAsia"/>
          <w:kern w:val="2"/>
          <w:szCs w:val="21"/>
        </w:rPr>
        <w:t>报名须提交：投标人的营业执照复印件；法人代表证明书原件、法人代表身份证复印件、授权委托书原件、被授权委托人身份证复印件、被授权委托人联系方式（电话、邮箱）。以上资料均需加盖公章，原件中标备查。</w:t>
      </w:r>
    </w:p>
    <w:p>
      <w:pPr>
        <w:widowControl w:val="0"/>
        <w:shd w:val="clear" w:color="auto" w:fill="auto"/>
        <w:tabs>
          <w:tab w:val="clear" w:pos="426"/>
        </w:tabs>
        <w:adjustRightInd/>
        <w:snapToGrid/>
        <w:ind w:firstLine="426"/>
      </w:pPr>
      <w:r>
        <w:rPr>
          <w:rFonts w:hint="eastAsia"/>
          <w:kern w:val="2"/>
          <w:szCs w:val="21"/>
        </w:rPr>
        <w:t>售价：</w:t>
      </w:r>
      <w:r>
        <w:rPr>
          <w:kern w:val="2"/>
          <w:szCs w:val="21"/>
        </w:rPr>
        <w:t>500</w:t>
      </w:r>
      <w:r>
        <w:rPr>
          <w:rFonts w:hint="eastAsia"/>
          <w:kern w:val="2"/>
          <w:szCs w:val="21"/>
        </w:rPr>
        <w:t>元</w:t>
      </w:r>
      <w:r>
        <w:rPr>
          <w:kern w:val="2"/>
          <w:szCs w:val="21"/>
        </w:rPr>
        <w:t>/</w:t>
      </w:r>
      <w:r>
        <w:rPr>
          <w:rFonts w:hint="eastAsia"/>
          <w:kern w:val="2"/>
          <w:szCs w:val="21"/>
        </w:rPr>
        <w:t>份，本公告包含的招标文件售价总和</w:t>
      </w:r>
    </w:p>
    <w:p>
      <w:pPr>
        <w:widowControl w:val="0"/>
        <w:shd w:val="clear" w:color="auto" w:fill="auto"/>
        <w:tabs>
          <w:tab w:val="clear" w:pos="426"/>
        </w:tabs>
        <w:adjustRightInd/>
        <w:snapToGrid/>
        <w:ind w:firstLine="540"/>
        <w:rPr>
          <w:kern w:val="2"/>
          <w:szCs w:val="21"/>
        </w:rPr>
      </w:pPr>
    </w:p>
    <w:p>
      <w:pPr>
        <w:rPr>
          <w:b/>
          <w:kern w:val="2"/>
          <w:szCs w:val="21"/>
        </w:rPr>
      </w:pPr>
      <w:bookmarkStart w:id="62" w:name="_Toc28359082"/>
      <w:bookmarkStart w:id="63" w:name="_Toc28359005"/>
      <w:bookmarkStart w:id="64" w:name="_Toc35393793"/>
      <w:bookmarkStart w:id="65" w:name="_Toc35393624"/>
      <w:r>
        <w:rPr>
          <w:rFonts w:hint="eastAsia"/>
          <w:b/>
          <w:kern w:val="2"/>
          <w:szCs w:val="21"/>
        </w:rPr>
        <w:t>四、提交投标文件</w:t>
      </w:r>
      <w:bookmarkEnd w:id="62"/>
      <w:bookmarkEnd w:id="63"/>
      <w:r>
        <w:rPr>
          <w:rFonts w:hint="eastAsia"/>
          <w:b/>
          <w:kern w:val="2"/>
          <w:szCs w:val="21"/>
        </w:rPr>
        <w:t>截止时间、开标时间和地点</w:t>
      </w:r>
      <w:bookmarkEnd w:id="64"/>
      <w:bookmarkEnd w:id="65"/>
    </w:p>
    <w:p>
      <w:pPr>
        <w:widowControl w:val="0"/>
        <w:shd w:val="clear" w:color="auto" w:fill="auto"/>
        <w:tabs>
          <w:tab w:val="clear" w:pos="426"/>
        </w:tabs>
        <w:adjustRightInd/>
        <w:snapToGrid/>
        <w:ind w:firstLine="420" w:firstLineChars="200"/>
        <w:rPr>
          <w:rFonts w:cs="Times New Roman"/>
          <w:bCs/>
          <w:kern w:val="2"/>
          <w:szCs w:val="21"/>
        </w:rPr>
      </w:pPr>
      <w:r>
        <w:rPr>
          <w:rFonts w:hint="eastAsia" w:cs="Times New Roman"/>
          <w:bCs/>
          <w:kern w:val="2"/>
          <w:szCs w:val="21"/>
        </w:rPr>
        <w:t>提交投标文件截止时间：</w:t>
      </w:r>
      <w:r>
        <w:rPr>
          <w:rFonts w:cs="Times New Roman"/>
          <w:bCs/>
          <w:kern w:val="2"/>
          <w:szCs w:val="21"/>
        </w:rPr>
        <w:t>2</w:t>
      </w:r>
      <w:r>
        <w:rPr>
          <w:rFonts w:cs="Times New Roman"/>
          <w:kern w:val="2"/>
          <w:szCs w:val="21"/>
        </w:rPr>
        <w:t>024</w:t>
      </w:r>
      <w:r>
        <w:rPr>
          <w:rFonts w:hint="eastAsia" w:cs="Times New Roman"/>
          <w:kern w:val="2"/>
          <w:szCs w:val="21"/>
        </w:rPr>
        <w:t>年</w:t>
      </w:r>
      <w:r>
        <w:rPr>
          <w:rFonts w:hint="eastAsia" w:cs="Times New Roman"/>
          <w:kern w:val="2"/>
          <w:szCs w:val="21"/>
          <w:lang w:val="en-US" w:eastAsia="zh-CN"/>
        </w:rPr>
        <w:t>10</w:t>
      </w:r>
      <w:r>
        <w:rPr>
          <w:rFonts w:hint="eastAsia" w:cs="Times New Roman"/>
          <w:kern w:val="2"/>
          <w:szCs w:val="21"/>
        </w:rPr>
        <w:t>月</w:t>
      </w:r>
      <w:r>
        <w:rPr>
          <w:rFonts w:hint="eastAsia" w:cs="Times New Roman"/>
          <w:kern w:val="2"/>
          <w:szCs w:val="21"/>
          <w:lang w:val="en-US" w:eastAsia="zh-CN"/>
        </w:rPr>
        <w:t>11</w:t>
      </w:r>
      <w:r>
        <w:rPr>
          <w:rFonts w:hint="eastAsia" w:cs="Times New Roman"/>
          <w:kern w:val="2"/>
          <w:szCs w:val="21"/>
        </w:rPr>
        <w:t>日09点3</w:t>
      </w:r>
      <w:r>
        <w:rPr>
          <w:rFonts w:cs="Times New Roman"/>
          <w:kern w:val="2"/>
          <w:szCs w:val="21"/>
        </w:rPr>
        <w:t>0</w:t>
      </w:r>
      <w:r>
        <w:rPr>
          <w:rFonts w:hint="eastAsia" w:cs="Times New Roman"/>
          <w:kern w:val="2"/>
          <w:szCs w:val="21"/>
        </w:rPr>
        <w:t>分（</w:t>
      </w:r>
      <w:r>
        <w:rPr>
          <w:rFonts w:hint="eastAsia" w:cs="Times New Roman"/>
          <w:bCs/>
          <w:kern w:val="2"/>
          <w:szCs w:val="21"/>
        </w:rPr>
        <w:t>北京时间）</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开标时间：202</w:t>
      </w:r>
      <w:r>
        <w:rPr>
          <w:rFonts w:cs="Times New Roman"/>
          <w:kern w:val="2"/>
          <w:szCs w:val="21"/>
        </w:rPr>
        <w:t>4</w:t>
      </w:r>
      <w:r>
        <w:rPr>
          <w:rFonts w:hint="eastAsia" w:cs="Times New Roman"/>
          <w:kern w:val="2"/>
          <w:szCs w:val="21"/>
        </w:rPr>
        <w:t>年</w:t>
      </w:r>
      <w:r>
        <w:rPr>
          <w:rFonts w:hint="eastAsia" w:cs="Times New Roman"/>
          <w:kern w:val="2"/>
          <w:szCs w:val="21"/>
          <w:lang w:val="en-US" w:eastAsia="zh-CN"/>
        </w:rPr>
        <w:t>10</w:t>
      </w:r>
      <w:r>
        <w:rPr>
          <w:rFonts w:hint="eastAsia" w:cs="Times New Roman"/>
          <w:kern w:val="2"/>
          <w:szCs w:val="21"/>
        </w:rPr>
        <w:t>月</w:t>
      </w:r>
      <w:r>
        <w:rPr>
          <w:rFonts w:hint="eastAsia" w:cs="Times New Roman"/>
          <w:kern w:val="2"/>
          <w:szCs w:val="21"/>
          <w:lang w:val="en-US" w:eastAsia="zh-CN"/>
        </w:rPr>
        <w:t>11</w:t>
      </w:r>
      <w:r>
        <w:rPr>
          <w:rFonts w:hint="eastAsia" w:cs="Times New Roman"/>
          <w:kern w:val="2"/>
          <w:szCs w:val="21"/>
        </w:rPr>
        <w:t xml:space="preserve">日 </w:t>
      </w:r>
      <w:r>
        <w:rPr>
          <w:rFonts w:hint="eastAsia" w:cs="Times New Roman"/>
          <w:kern w:val="2"/>
          <w:szCs w:val="21"/>
          <w:lang w:val="en-US" w:eastAsia="zh-CN"/>
        </w:rPr>
        <w:t>09</w:t>
      </w:r>
      <w:r>
        <w:rPr>
          <w:rFonts w:hint="eastAsia" w:cs="Times New Roman"/>
          <w:kern w:val="2"/>
          <w:szCs w:val="21"/>
        </w:rPr>
        <w:t>点30分（北京时间）</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地点：深圳市罗湖区清水河街道清水河社区清水河一路112号罗湖投资控股大厦裙楼401</w:t>
      </w:r>
    </w:p>
    <w:p>
      <w:pPr>
        <w:rPr>
          <w:bCs/>
          <w:kern w:val="2"/>
          <w:szCs w:val="21"/>
        </w:rPr>
      </w:pPr>
      <w:bookmarkStart w:id="66" w:name="_Toc35393794"/>
      <w:bookmarkStart w:id="67" w:name="_Toc28359084"/>
      <w:bookmarkStart w:id="68" w:name="_Toc35393625"/>
      <w:bookmarkStart w:id="69" w:name="_Toc28359007"/>
    </w:p>
    <w:p>
      <w:pPr>
        <w:rPr>
          <w:b/>
          <w:kern w:val="2"/>
          <w:szCs w:val="21"/>
        </w:rPr>
      </w:pPr>
      <w:r>
        <w:rPr>
          <w:rFonts w:hint="eastAsia"/>
          <w:b/>
          <w:kern w:val="2"/>
          <w:szCs w:val="21"/>
        </w:rPr>
        <w:t>五、公告期限</w:t>
      </w:r>
      <w:bookmarkEnd w:id="66"/>
      <w:bookmarkEnd w:id="67"/>
      <w:bookmarkEnd w:id="68"/>
      <w:bookmarkEnd w:id="69"/>
    </w:p>
    <w:p>
      <w:pPr>
        <w:widowControl w:val="0"/>
        <w:shd w:val="clear" w:color="auto" w:fill="auto"/>
        <w:tabs>
          <w:tab w:val="clear" w:pos="426"/>
        </w:tabs>
        <w:adjustRightInd/>
        <w:snapToGrid/>
        <w:ind w:firstLine="420" w:firstLineChars="200"/>
        <w:rPr>
          <w:szCs w:val="21"/>
        </w:rPr>
      </w:pPr>
      <w:r>
        <w:rPr>
          <w:rFonts w:hint="eastAsia"/>
          <w:szCs w:val="21"/>
        </w:rPr>
        <w:t>自本公告发布之日起</w:t>
      </w:r>
      <w:r>
        <w:rPr>
          <w:szCs w:val="21"/>
        </w:rPr>
        <w:t>5个工作日。</w:t>
      </w:r>
    </w:p>
    <w:p>
      <w:pPr>
        <w:rPr>
          <w:bCs/>
          <w:kern w:val="2"/>
          <w:szCs w:val="21"/>
        </w:rPr>
      </w:pPr>
      <w:bookmarkStart w:id="70" w:name="_Toc35393795"/>
      <w:bookmarkStart w:id="71" w:name="_Toc35393626"/>
    </w:p>
    <w:p>
      <w:pPr>
        <w:rPr>
          <w:b/>
          <w:kern w:val="2"/>
          <w:szCs w:val="21"/>
        </w:rPr>
      </w:pPr>
      <w:r>
        <w:rPr>
          <w:rFonts w:hint="eastAsia"/>
          <w:b/>
          <w:kern w:val="2"/>
          <w:szCs w:val="21"/>
        </w:rPr>
        <w:t>六、其他补充事宜</w:t>
      </w:r>
      <w:bookmarkEnd w:id="70"/>
      <w:bookmarkEnd w:id="71"/>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1.答疑事项：</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1）本项目实行网下纸质答疑，凡对招标文件有任何疑问的（包括认为招标文件的技术指标或参数存在排他性或歧视性条款），请投标供应商在获取采购文件或者采购文件公告期限届满之日起7个工作日内对采购文件提出质疑，根据《中华人民共和国政府采购法》第六章 《中华人民共和国政府采购法实施条例》的有关质疑的指引及要求填写质疑函件，并将质疑函件以及相关质疑内容的证明材料原件送达深圳市深水水务咨询有限公司，逾期不受理。</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2）投标供应商有义务在招标活动期间浏览本公告“六、其他补充事宜”中的相关网站，招标人在上述网站上公布的与本次招标项目有关的信息视为已送达各投标供应商。采购代理机构将答疑情况或相关的补充公告（说明）在相关网站公布，请投标供应商及时关注本项目的投标答疑情况。投标供应商因疏忽，未及时登录相关网站了解相关的答疑情况及补充说明，产生的不利后果由投标供应商自行承担。</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2.消防救援队伍政府采购项目投诉受理单位：</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联系人：财政部政府采购监督裁决处</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电话：010-68513070、010-68519967</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地址：北京市西城区月坛北小街13号中船宾馆北楼四层8401室、8403室</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3.投标文件提交方式补充说明：</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各投标人法定代表人或其授权代表可通过邮寄方式，按照规定的递交投标文件截止时间前向我公司邮寄投标文件，快递单上写明供应商名称、项目编号、包号，通过邮寄方式递交的投标文件递交时间以我公司代表签收时间为准。逾期、不符合规定的或邮寄过程导致包装密封出现破损的，投标文件不予接受。投标供应商自行承担相应责任与后果。投标供应商未参加现场开标的，视同认可开标结果。</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4.信息发布平台：</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中国政府采购网（http://www.ccgp.gov.cn）；</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深圳市深水水务咨询有限公司官网（http://www.szsszx.com/）。</w:t>
      </w:r>
    </w:p>
    <w:p>
      <w:pPr>
        <w:rPr>
          <w:b/>
          <w:kern w:val="2"/>
          <w:szCs w:val="21"/>
        </w:rPr>
      </w:pPr>
      <w:bookmarkStart w:id="72" w:name="_Toc35393796"/>
      <w:bookmarkStart w:id="73" w:name="_Toc28359085"/>
      <w:bookmarkStart w:id="74" w:name="_Toc28359008"/>
      <w:bookmarkStart w:id="75" w:name="_Toc35393627"/>
      <w:r>
        <w:rPr>
          <w:rFonts w:hint="eastAsia"/>
          <w:b/>
          <w:kern w:val="2"/>
          <w:szCs w:val="21"/>
        </w:rPr>
        <w:t>七、对本次招标提出询问，请按</w:t>
      </w:r>
      <w:r>
        <w:rPr>
          <w:b/>
          <w:kern w:val="2"/>
          <w:szCs w:val="21"/>
        </w:rPr>
        <w:t>以下方式</w:t>
      </w:r>
      <w:r>
        <w:rPr>
          <w:rFonts w:hint="eastAsia"/>
          <w:b/>
          <w:kern w:val="2"/>
          <w:szCs w:val="21"/>
        </w:rPr>
        <w:t>联系</w:t>
      </w:r>
      <w:bookmarkEnd w:id="72"/>
      <w:bookmarkEnd w:id="73"/>
      <w:bookmarkEnd w:id="74"/>
      <w:bookmarkEnd w:id="75"/>
      <w:r>
        <w:rPr>
          <w:rFonts w:hint="eastAsia"/>
          <w:b/>
          <w:kern w:val="2"/>
          <w:szCs w:val="21"/>
        </w:rPr>
        <w:t>。</w:t>
      </w:r>
    </w:p>
    <w:p>
      <w:pPr>
        <w:widowControl w:val="0"/>
        <w:shd w:val="clear" w:color="auto" w:fill="auto"/>
        <w:tabs>
          <w:tab w:val="clear" w:pos="426"/>
        </w:tabs>
        <w:adjustRightInd/>
        <w:snapToGrid/>
        <w:ind w:firstLine="420" w:firstLineChars="200"/>
        <w:rPr>
          <w:rFonts w:hAnsi="Times New Roman" w:cs="Times New Roman"/>
          <w:kern w:val="2"/>
          <w:szCs w:val="21"/>
        </w:rPr>
      </w:pPr>
      <w:r>
        <w:rPr>
          <w:rFonts w:hint="eastAsia" w:hAnsi="Times New Roman" w:cs="Times New Roman"/>
          <w:kern w:val="2"/>
          <w:szCs w:val="21"/>
        </w:rPr>
        <w:t>1</w:t>
      </w:r>
      <w:r>
        <w:rPr>
          <w:rFonts w:hAnsi="Times New Roman" w:cs="Times New Roman"/>
          <w:kern w:val="2"/>
          <w:szCs w:val="21"/>
        </w:rPr>
        <w:t>.</w:t>
      </w:r>
      <w:r>
        <w:rPr>
          <w:rFonts w:hint="eastAsia" w:hAnsi="Times New Roman" w:cs="Times New Roman"/>
          <w:kern w:val="2"/>
          <w:szCs w:val="21"/>
        </w:rPr>
        <w:t>采购人信息</w:t>
      </w:r>
    </w:p>
    <w:p>
      <w:pPr>
        <w:widowControl w:val="0"/>
        <w:shd w:val="clear" w:color="auto" w:fill="auto"/>
        <w:tabs>
          <w:tab w:val="clear" w:pos="426"/>
        </w:tabs>
        <w:adjustRightInd/>
        <w:snapToGrid/>
        <w:ind w:firstLine="420" w:firstLineChars="200"/>
        <w:rPr>
          <w:rFonts w:hAnsi="Times New Roman" w:cs="Times New Roman"/>
          <w:kern w:val="2"/>
          <w:szCs w:val="21"/>
        </w:rPr>
      </w:pPr>
      <w:r>
        <w:rPr>
          <w:rFonts w:hint="eastAsia" w:hAnsi="Times New Roman" w:cs="Times New Roman"/>
          <w:kern w:val="2"/>
          <w:szCs w:val="21"/>
        </w:rPr>
        <w:t>名称：</w:t>
      </w:r>
      <w:r>
        <w:rPr>
          <w:rFonts w:hint="eastAsia" w:cs="Times New Roman"/>
          <w:kern w:val="2"/>
          <w:szCs w:val="21"/>
        </w:rPr>
        <w:t>深圳市宝安区消防救援大队</w:t>
      </w:r>
    </w:p>
    <w:p>
      <w:pPr>
        <w:widowControl w:val="0"/>
        <w:shd w:val="clear" w:color="auto" w:fill="auto"/>
        <w:tabs>
          <w:tab w:val="clear" w:pos="426"/>
        </w:tabs>
        <w:adjustRightInd/>
        <w:snapToGrid/>
        <w:ind w:firstLine="420" w:firstLineChars="200"/>
        <w:rPr>
          <w:rFonts w:hAnsi="Times New Roman" w:cs="Times New Roman"/>
          <w:kern w:val="2"/>
          <w:szCs w:val="21"/>
        </w:rPr>
      </w:pPr>
      <w:r>
        <w:rPr>
          <w:rFonts w:hint="eastAsia" w:hAnsi="Times New Roman" w:cs="Times New Roman"/>
          <w:kern w:val="2"/>
          <w:szCs w:val="21"/>
        </w:rPr>
        <w:t>地址：深圳市宝安区西乡街道银田路51号</w:t>
      </w:r>
    </w:p>
    <w:p>
      <w:pPr>
        <w:widowControl w:val="0"/>
        <w:shd w:val="clear" w:color="auto" w:fill="auto"/>
        <w:tabs>
          <w:tab w:val="clear" w:pos="426"/>
        </w:tabs>
        <w:adjustRightInd/>
        <w:snapToGrid/>
        <w:ind w:firstLine="420" w:firstLineChars="200"/>
        <w:rPr>
          <w:rFonts w:hAnsi="Times New Roman" w:cs="Times New Roman"/>
          <w:kern w:val="2"/>
          <w:szCs w:val="21"/>
        </w:rPr>
      </w:pPr>
      <w:r>
        <w:rPr>
          <w:rFonts w:hint="eastAsia" w:hAnsi="Times New Roman" w:cs="Times New Roman"/>
          <w:kern w:val="2"/>
          <w:szCs w:val="21"/>
        </w:rPr>
        <w:t>联系方式：曾工0755-277544374</w:t>
      </w:r>
    </w:p>
    <w:p>
      <w:pPr>
        <w:widowControl w:val="0"/>
        <w:shd w:val="clear" w:color="auto" w:fill="auto"/>
        <w:tabs>
          <w:tab w:val="clear" w:pos="426"/>
        </w:tabs>
        <w:adjustRightInd/>
        <w:snapToGrid/>
        <w:ind w:firstLine="420" w:firstLineChars="200"/>
        <w:rPr>
          <w:rFonts w:hAnsi="Times New Roman" w:cs="Times New Roman"/>
          <w:kern w:val="2"/>
          <w:szCs w:val="21"/>
        </w:rPr>
      </w:pPr>
      <w:r>
        <w:rPr>
          <w:rFonts w:hint="eastAsia" w:hAnsi="Times New Roman" w:cs="Times New Roman"/>
          <w:kern w:val="2"/>
          <w:szCs w:val="21"/>
        </w:rPr>
        <w:t>2.采购代理机构信息</w:t>
      </w:r>
    </w:p>
    <w:p>
      <w:pPr>
        <w:widowControl w:val="0"/>
        <w:shd w:val="clear" w:color="auto" w:fill="auto"/>
        <w:tabs>
          <w:tab w:val="clear" w:pos="426"/>
        </w:tabs>
        <w:adjustRightInd/>
        <w:snapToGrid/>
        <w:ind w:firstLine="420" w:firstLineChars="200"/>
        <w:rPr>
          <w:rFonts w:hAnsi="Times New Roman" w:cs="Times New Roman"/>
          <w:kern w:val="2"/>
          <w:szCs w:val="21"/>
        </w:rPr>
      </w:pPr>
      <w:r>
        <w:rPr>
          <w:rFonts w:hint="eastAsia" w:hAnsi="Times New Roman" w:cs="Times New Roman"/>
          <w:kern w:val="2"/>
          <w:szCs w:val="21"/>
        </w:rPr>
        <w:t>名称：深圳市深水水务咨询有限公司</w:t>
      </w:r>
    </w:p>
    <w:p>
      <w:pPr>
        <w:widowControl w:val="0"/>
        <w:shd w:val="clear" w:color="auto" w:fill="auto"/>
        <w:tabs>
          <w:tab w:val="clear" w:pos="426"/>
        </w:tabs>
        <w:adjustRightInd/>
        <w:snapToGrid/>
        <w:ind w:firstLine="420" w:firstLineChars="200"/>
        <w:rPr>
          <w:rFonts w:hAnsi="Times New Roman" w:cs="Times New Roman"/>
          <w:kern w:val="2"/>
          <w:szCs w:val="21"/>
        </w:rPr>
      </w:pPr>
      <w:r>
        <w:rPr>
          <w:rFonts w:hint="eastAsia" w:hAnsi="Times New Roman" w:cs="Times New Roman"/>
          <w:kern w:val="2"/>
          <w:szCs w:val="21"/>
        </w:rPr>
        <w:t>地址：深圳市罗湖区清水河街道清水河社区清水河一路112号罗湖投资控股大厦裙楼401</w:t>
      </w:r>
    </w:p>
    <w:p>
      <w:pPr>
        <w:widowControl w:val="0"/>
        <w:shd w:val="clear" w:color="auto" w:fill="auto"/>
        <w:tabs>
          <w:tab w:val="clear" w:pos="426"/>
        </w:tabs>
        <w:adjustRightInd/>
        <w:snapToGrid/>
        <w:ind w:firstLine="420" w:firstLineChars="200"/>
        <w:rPr>
          <w:rFonts w:hAnsi="Times New Roman" w:cs="Times New Roman"/>
          <w:kern w:val="2"/>
          <w:szCs w:val="21"/>
        </w:rPr>
      </w:pPr>
      <w:r>
        <w:rPr>
          <w:rFonts w:hint="eastAsia" w:hAnsi="Times New Roman" w:cs="Times New Roman"/>
          <w:kern w:val="2"/>
          <w:szCs w:val="21"/>
        </w:rPr>
        <w:t>联系方式：庄晓琴0755-25165821/13688812350/Email：498174886@qq.com</w:t>
      </w:r>
    </w:p>
    <w:p>
      <w:pPr>
        <w:widowControl w:val="0"/>
        <w:shd w:val="clear" w:color="auto" w:fill="auto"/>
        <w:tabs>
          <w:tab w:val="clear" w:pos="426"/>
        </w:tabs>
        <w:adjustRightInd/>
        <w:snapToGrid/>
        <w:ind w:firstLine="420" w:firstLineChars="200"/>
        <w:rPr>
          <w:rFonts w:hAnsi="Times New Roman" w:cs="Times New Roman"/>
          <w:kern w:val="2"/>
          <w:szCs w:val="21"/>
        </w:rPr>
      </w:pPr>
      <w:r>
        <w:rPr>
          <w:rFonts w:hint="eastAsia" w:hAnsi="Times New Roman" w:cs="Times New Roman"/>
          <w:kern w:val="2"/>
          <w:szCs w:val="21"/>
        </w:rPr>
        <w:t>3.项目联系方式</w:t>
      </w:r>
    </w:p>
    <w:p>
      <w:pPr>
        <w:widowControl w:val="0"/>
        <w:shd w:val="clear" w:color="auto" w:fill="auto"/>
        <w:tabs>
          <w:tab w:val="clear" w:pos="426"/>
        </w:tabs>
        <w:adjustRightInd/>
        <w:snapToGrid/>
        <w:ind w:firstLine="420" w:firstLineChars="200"/>
        <w:rPr>
          <w:rFonts w:hAnsi="Times New Roman" w:cs="Times New Roman"/>
          <w:kern w:val="2"/>
          <w:szCs w:val="21"/>
        </w:rPr>
      </w:pPr>
      <w:r>
        <w:rPr>
          <w:rFonts w:hint="eastAsia" w:hAnsi="Times New Roman" w:cs="Times New Roman"/>
          <w:kern w:val="2"/>
          <w:szCs w:val="21"/>
        </w:rPr>
        <w:t>项目联系人：庄晓琴、张伟</w:t>
      </w:r>
    </w:p>
    <w:p>
      <w:pPr>
        <w:widowControl w:val="0"/>
        <w:shd w:val="clear" w:color="auto" w:fill="auto"/>
        <w:tabs>
          <w:tab w:val="clear" w:pos="426"/>
        </w:tabs>
        <w:adjustRightInd/>
        <w:snapToGrid/>
        <w:ind w:firstLine="420" w:firstLineChars="200"/>
        <w:rPr>
          <w:rFonts w:hAnsi="Times New Roman" w:cs="Times New Roman"/>
          <w:kern w:val="2"/>
          <w:szCs w:val="21"/>
        </w:rPr>
      </w:pPr>
      <w:r>
        <w:rPr>
          <w:rFonts w:hint="eastAsia" w:hAnsi="Times New Roman" w:cs="Times New Roman"/>
          <w:kern w:val="2"/>
          <w:szCs w:val="21"/>
        </w:rPr>
        <w:t>电话：13688812350</w:t>
      </w:r>
    </w:p>
    <w:p>
      <w:pPr>
        <w:ind w:firstLine="424" w:firstLineChars="202"/>
        <w:jc w:val="right"/>
        <w:rPr>
          <w:szCs w:val="21"/>
        </w:rPr>
      </w:pPr>
      <w:r>
        <w:rPr>
          <w:rFonts w:hint="eastAsia"/>
          <w:szCs w:val="21"/>
        </w:rPr>
        <w:t>深圳市深水水务咨询有限公司</w:t>
      </w:r>
    </w:p>
    <w:p>
      <w:pPr>
        <w:ind w:firstLine="424" w:firstLineChars="202"/>
        <w:jc w:val="right"/>
        <w:rPr>
          <w:szCs w:val="21"/>
        </w:rPr>
      </w:pPr>
      <w:r>
        <w:rPr>
          <w:szCs w:val="21"/>
        </w:rPr>
        <w:t>202</w:t>
      </w:r>
      <w:r>
        <w:rPr>
          <w:rFonts w:hint="eastAsia"/>
          <w:szCs w:val="21"/>
        </w:rPr>
        <w:t>4年</w:t>
      </w:r>
      <w:r>
        <w:rPr>
          <w:rFonts w:hint="eastAsia"/>
          <w:szCs w:val="21"/>
          <w:lang w:val="en-US" w:eastAsia="zh-CN"/>
        </w:rPr>
        <w:t>9</w:t>
      </w:r>
      <w:r>
        <w:rPr>
          <w:rFonts w:hint="eastAsia"/>
          <w:szCs w:val="21"/>
        </w:rPr>
        <w:t>月</w:t>
      </w:r>
      <w:r>
        <w:rPr>
          <w:rFonts w:hint="eastAsia"/>
          <w:szCs w:val="21"/>
          <w:lang w:val="en-US" w:eastAsia="zh-CN"/>
        </w:rPr>
        <w:t>20</w:t>
      </w:r>
      <w:r>
        <w:rPr>
          <w:rFonts w:hint="eastAsia"/>
          <w:szCs w:val="21"/>
        </w:rPr>
        <w:t>日</w:t>
      </w:r>
      <w:bookmarkEnd w:id="38"/>
      <w:r>
        <w:br w:type="page"/>
      </w:r>
    </w:p>
    <w:p>
      <w:pPr>
        <w:ind w:firstLine="424" w:firstLineChars="202"/>
        <w:jc w:val="right"/>
        <w:rPr>
          <w:szCs w:val="21"/>
        </w:rPr>
      </w:pPr>
    </w:p>
    <w:bookmarkEnd w:id="39"/>
    <w:p>
      <w:pPr>
        <w:pStyle w:val="62"/>
        <w:tabs>
          <w:tab w:val="clear" w:pos="426"/>
        </w:tabs>
      </w:pPr>
      <w:bookmarkStart w:id="76" w:name="_Toc432592814"/>
      <w:bookmarkStart w:id="77" w:name="_Toc27554"/>
      <w:r>
        <w:rPr>
          <w:rFonts w:hint="eastAsia"/>
        </w:rPr>
        <w:t>第二章</w:t>
      </w:r>
      <w:bookmarkEnd w:id="76"/>
      <w:r>
        <w:rPr>
          <w:rFonts w:hint="eastAsia"/>
        </w:rPr>
        <w:t xml:space="preserve"> 投标须知前附表</w:t>
      </w:r>
      <w:bookmarkEnd w:id="77"/>
    </w:p>
    <w:p>
      <w:pPr>
        <w:tabs>
          <w:tab w:val="clear" w:pos="426"/>
        </w:tabs>
        <w:spacing w:line="240" w:lineRule="auto"/>
        <w:ind w:right="-174" w:rightChars="-83"/>
      </w:pPr>
      <w:r>
        <w:rPr>
          <w:rFonts w:hint="eastAsia"/>
        </w:rPr>
        <w:t>说明：本表是对通用条款《投标供应商须知》条款的补充、修改和完善，如果有矛盾，应以本表为准。</w:t>
      </w:r>
    </w:p>
    <w:tbl>
      <w:tblPr>
        <w:tblStyle w:val="85"/>
        <w:tblW w:w="957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9"/>
        <w:gridCol w:w="693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pPr>
            <w:r>
              <w:rPr>
                <w:rFonts w:hint="eastAsia"/>
              </w:rPr>
              <w:t>序号</w:t>
            </w:r>
          </w:p>
        </w:tc>
        <w:tc>
          <w:tcPr>
            <w:tcW w:w="1889" w:type="dxa"/>
            <w:vAlign w:val="center"/>
          </w:tcPr>
          <w:p>
            <w:pPr>
              <w:tabs>
                <w:tab w:val="clear" w:pos="426"/>
              </w:tabs>
              <w:adjustRightInd/>
              <w:snapToGrid/>
              <w:spacing w:line="320" w:lineRule="exact"/>
              <w:jc w:val="center"/>
            </w:pPr>
            <w:r>
              <w:rPr>
                <w:rFonts w:hint="eastAsia"/>
              </w:rPr>
              <w:t>内容</w:t>
            </w:r>
          </w:p>
        </w:tc>
        <w:tc>
          <w:tcPr>
            <w:tcW w:w="6931" w:type="dxa"/>
            <w:vAlign w:val="center"/>
          </w:tcPr>
          <w:p>
            <w:pPr>
              <w:tabs>
                <w:tab w:val="clear" w:pos="426"/>
              </w:tabs>
              <w:adjustRightInd/>
              <w:snapToGrid/>
              <w:spacing w:line="320" w:lineRule="exact"/>
              <w:jc w:val="center"/>
            </w:pPr>
            <w:r>
              <w:rPr>
                <w:rFonts w:hint="eastAsia"/>
              </w:rPr>
              <w:t>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pPr>
            <w:r>
              <w:t>1</w:t>
            </w:r>
          </w:p>
        </w:tc>
        <w:tc>
          <w:tcPr>
            <w:tcW w:w="1889" w:type="dxa"/>
            <w:vAlign w:val="center"/>
          </w:tcPr>
          <w:p>
            <w:pPr>
              <w:tabs>
                <w:tab w:val="clear" w:pos="426"/>
              </w:tabs>
              <w:adjustRightInd/>
              <w:snapToGrid/>
              <w:spacing w:line="320" w:lineRule="exact"/>
            </w:pPr>
            <w:r>
              <w:rPr>
                <w:rFonts w:hint="eastAsia"/>
              </w:rPr>
              <w:t>联合体投标</w:t>
            </w:r>
          </w:p>
        </w:tc>
        <w:tc>
          <w:tcPr>
            <w:tcW w:w="6931" w:type="dxa"/>
            <w:vAlign w:val="center"/>
          </w:tcPr>
          <w:p>
            <w:pPr>
              <w:tabs>
                <w:tab w:val="clear" w:pos="426"/>
              </w:tabs>
              <w:adjustRightInd/>
              <w:snapToGrid/>
              <w:spacing w:line="320" w:lineRule="exact"/>
            </w:pPr>
            <w:r>
              <w:rPr>
                <w:rFonts w:hint="eastAsia"/>
              </w:rPr>
              <w:t>■不接受（招标文件中相关联合体规定均不适用）</w:t>
            </w:r>
            <w:r>
              <w:t xml:space="preserve">   </w:t>
            </w:r>
            <w:r>
              <w:rPr>
                <w:rFonts w:hint="eastAsia"/>
              </w:rPr>
              <w:t>□接受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pPr>
            <w:r>
              <w:t>2</w:t>
            </w:r>
          </w:p>
        </w:tc>
        <w:tc>
          <w:tcPr>
            <w:tcW w:w="1889" w:type="dxa"/>
            <w:vAlign w:val="center"/>
          </w:tcPr>
          <w:p>
            <w:pPr>
              <w:tabs>
                <w:tab w:val="clear" w:pos="426"/>
              </w:tabs>
              <w:adjustRightInd/>
              <w:snapToGrid/>
              <w:spacing w:line="320" w:lineRule="exact"/>
            </w:pPr>
            <w:r>
              <w:t>踏勘现场</w:t>
            </w:r>
          </w:p>
        </w:tc>
        <w:tc>
          <w:tcPr>
            <w:tcW w:w="6931" w:type="dxa"/>
            <w:vAlign w:val="center"/>
          </w:tcPr>
          <w:p>
            <w:pPr>
              <w:tabs>
                <w:tab w:val="clear" w:pos="426"/>
              </w:tabs>
              <w:adjustRightInd/>
              <w:snapToGrid/>
              <w:spacing w:line="320" w:lineRule="exact"/>
            </w:pPr>
            <w:r>
              <w:rPr>
                <w:rFonts w:hint="eastAsia"/>
              </w:rPr>
              <w:t>■不组织。</w:t>
            </w:r>
          </w:p>
          <w:p>
            <w:pPr>
              <w:tabs>
                <w:tab w:val="clear" w:pos="426"/>
              </w:tabs>
              <w:adjustRightInd/>
              <w:snapToGrid/>
              <w:spacing w:line="320" w:lineRule="exact"/>
            </w:pPr>
            <w:r>
              <w:rPr>
                <w:rFonts w:hint="eastAsia"/>
              </w:rPr>
              <w:t>□组织。踏勘时间：</w:t>
            </w:r>
            <w:r>
              <w:rPr>
                <w:u w:val="single"/>
              </w:rPr>
              <w:t>______年____月___日____时____分</w:t>
            </w:r>
          </w:p>
          <w:p>
            <w:pPr>
              <w:tabs>
                <w:tab w:val="clear" w:pos="426"/>
              </w:tabs>
              <w:adjustRightInd/>
              <w:snapToGrid/>
              <w:spacing w:line="320" w:lineRule="exact"/>
            </w:pPr>
            <w:r>
              <w:t xml:space="preserve">        集合地点：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pPr>
            <w:r>
              <w:t>3</w:t>
            </w:r>
          </w:p>
        </w:tc>
        <w:tc>
          <w:tcPr>
            <w:tcW w:w="1889" w:type="dxa"/>
            <w:vAlign w:val="center"/>
          </w:tcPr>
          <w:p>
            <w:pPr>
              <w:tabs>
                <w:tab w:val="clear" w:pos="426"/>
              </w:tabs>
              <w:adjustRightInd/>
              <w:snapToGrid/>
              <w:spacing w:line="320" w:lineRule="exact"/>
            </w:pPr>
            <w:r>
              <w:rPr>
                <w:rFonts w:hint="eastAsia"/>
              </w:rPr>
              <w:t>投标供应商提出疑问截止时间</w:t>
            </w:r>
          </w:p>
        </w:tc>
        <w:tc>
          <w:tcPr>
            <w:tcW w:w="6931" w:type="dxa"/>
            <w:vAlign w:val="center"/>
          </w:tcPr>
          <w:p>
            <w:pPr>
              <w:tabs>
                <w:tab w:val="clear" w:pos="426"/>
              </w:tabs>
              <w:adjustRightInd/>
              <w:snapToGrid/>
              <w:spacing w:line="320" w:lineRule="exact"/>
            </w:pPr>
            <w:r>
              <w:rPr>
                <w:rFonts w:hint="eastAsia" w:cs="Times New Roman"/>
              </w:rPr>
              <w:t>在获取采购文件或者采购文件公告期限届满之日起7个工作日内对采购文件提出质疑。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pPr>
            <w:r>
              <w:t>4</w:t>
            </w:r>
          </w:p>
        </w:tc>
        <w:tc>
          <w:tcPr>
            <w:tcW w:w="1889" w:type="dxa"/>
            <w:vAlign w:val="center"/>
          </w:tcPr>
          <w:p>
            <w:pPr>
              <w:tabs>
                <w:tab w:val="clear" w:pos="426"/>
              </w:tabs>
              <w:adjustRightInd/>
              <w:snapToGrid/>
              <w:spacing w:line="320" w:lineRule="exact"/>
            </w:pPr>
            <w:r>
              <w:rPr>
                <w:rFonts w:hint="eastAsia"/>
              </w:rPr>
              <w:t>澄清或修补、答疑的期限</w:t>
            </w:r>
          </w:p>
        </w:tc>
        <w:tc>
          <w:tcPr>
            <w:tcW w:w="6931" w:type="dxa"/>
            <w:vAlign w:val="center"/>
          </w:tcPr>
          <w:p>
            <w:pPr>
              <w:tabs>
                <w:tab w:val="clear" w:pos="426"/>
              </w:tabs>
              <w:adjustRightInd/>
              <w:snapToGrid/>
              <w:spacing w:line="320" w:lineRule="exact"/>
            </w:pPr>
            <w:r>
              <w:rPr>
                <w:rFonts w:hint="eastAsia" w:cs="Times New Roman"/>
              </w:rPr>
              <w:t>截标之日（当日不计）15日前</w:t>
            </w:r>
            <w:r>
              <w:rPr>
                <w:rFonts w:hint="eastAsia" w:cs="Times New Roman"/>
                <w:u w:val="single"/>
              </w:rPr>
              <w:t>17</w:t>
            </w:r>
            <w:bookmarkStart w:id="242" w:name="_GoBack"/>
            <w:bookmarkEnd w:id="242"/>
            <w:r>
              <w:rPr>
                <w:rFonts w:hint="eastAsia" w:cs="Times New Roman"/>
                <w:u w:val="single"/>
              </w:rPr>
              <w:t>：30</w:t>
            </w:r>
            <w:r>
              <w:rPr>
                <w:rFonts w:hint="eastAsia" w:cs="Times New Roman"/>
              </w:rPr>
              <w:t>点前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pPr>
            <w:r>
              <w:t>5</w:t>
            </w:r>
          </w:p>
        </w:tc>
        <w:tc>
          <w:tcPr>
            <w:tcW w:w="1889" w:type="dxa"/>
            <w:vAlign w:val="center"/>
          </w:tcPr>
          <w:p>
            <w:pPr>
              <w:tabs>
                <w:tab w:val="clear" w:pos="426"/>
              </w:tabs>
              <w:adjustRightInd/>
              <w:snapToGrid/>
              <w:spacing w:line="320" w:lineRule="exact"/>
            </w:pPr>
            <w:r>
              <w:rPr>
                <w:rFonts w:hint="eastAsia"/>
              </w:rPr>
              <w:t>招标代理</w:t>
            </w:r>
            <w:r>
              <w:t>服务费</w:t>
            </w:r>
          </w:p>
        </w:tc>
        <w:tc>
          <w:tcPr>
            <w:tcW w:w="6931" w:type="dxa"/>
            <w:vAlign w:val="center"/>
          </w:tcPr>
          <w:p>
            <w:pPr>
              <w:tabs>
                <w:tab w:val="clear" w:pos="426"/>
              </w:tabs>
              <w:adjustRightInd/>
              <w:snapToGrid/>
              <w:spacing w:line="320" w:lineRule="exact"/>
            </w:pPr>
            <w:r>
              <w:rPr>
                <w:rFonts w:hint="eastAsia"/>
              </w:rPr>
              <w:t>采购代理机构以中标金额为计算基数，依据采购人与代理机构约定的招标代理服务费收费办法，按差额定率累进法下浮比率计算（中标金额100 万元（含）-500 万元，下浮10%），向中标供应商收取。低于人民币</w:t>
            </w:r>
            <w:r>
              <w:t>5000</w:t>
            </w:r>
            <w:r>
              <w:rPr>
                <w:rFonts w:hint="eastAsia"/>
              </w:rPr>
              <w:t>元的，按最低人民币</w:t>
            </w:r>
            <w:r>
              <w:t>5000</w:t>
            </w:r>
            <w:r>
              <w:rPr>
                <w:rFonts w:hint="eastAsia"/>
              </w:rPr>
              <w:t>元收费。招标代理服务费采用转账的方式，账户信息如下：</w:t>
            </w:r>
          </w:p>
          <w:p>
            <w:pPr>
              <w:tabs>
                <w:tab w:val="clear" w:pos="426"/>
              </w:tabs>
              <w:adjustRightInd/>
              <w:snapToGrid/>
              <w:spacing w:line="320" w:lineRule="exact"/>
            </w:pPr>
            <w:r>
              <w:rPr>
                <w:rFonts w:hint="eastAsia"/>
              </w:rPr>
              <w:t>户名：深圳市深水水务咨询有限公司</w:t>
            </w:r>
          </w:p>
          <w:p>
            <w:pPr>
              <w:tabs>
                <w:tab w:val="clear" w:pos="426"/>
              </w:tabs>
              <w:adjustRightInd/>
              <w:snapToGrid/>
              <w:spacing w:line="320" w:lineRule="exact"/>
            </w:pPr>
            <w:r>
              <w:rPr>
                <w:rFonts w:hint="eastAsia"/>
              </w:rPr>
              <w:t>账号：</w:t>
            </w:r>
            <w:r>
              <w:t>443899991010003343618</w:t>
            </w:r>
          </w:p>
          <w:p>
            <w:pPr>
              <w:tabs>
                <w:tab w:val="clear" w:pos="426"/>
              </w:tabs>
              <w:adjustRightInd/>
              <w:snapToGrid/>
              <w:spacing w:line="320" w:lineRule="exact"/>
              <w:rPr>
                <w:kern w:val="2"/>
              </w:rPr>
            </w:pPr>
            <w:r>
              <w:rPr>
                <w:rFonts w:hint="eastAsia"/>
              </w:rPr>
              <w:t>开户行：交通银行深圳金叶支行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pPr>
            <w:r>
              <w:t>6</w:t>
            </w:r>
          </w:p>
        </w:tc>
        <w:tc>
          <w:tcPr>
            <w:tcW w:w="1889" w:type="dxa"/>
            <w:vAlign w:val="center"/>
          </w:tcPr>
          <w:p>
            <w:pPr>
              <w:tabs>
                <w:tab w:val="clear" w:pos="426"/>
              </w:tabs>
              <w:adjustRightInd/>
              <w:snapToGrid/>
              <w:spacing w:line="320" w:lineRule="exact"/>
            </w:pPr>
            <w:r>
              <w:t>投标</w:t>
            </w:r>
            <w:r>
              <w:rPr>
                <w:rFonts w:hint="eastAsia"/>
              </w:rPr>
              <w:t>担保</w:t>
            </w:r>
          </w:p>
        </w:tc>
        <w:tc>
          <w:tcPr>
            <w:tcW w:w="6931" w:type="dxa"/>
            <w:vAlign w:val="center"/>
          </w:tcPr>
          <w:p>
            <w:pPr>
              <w:tabs>
                <w:tab w:val="clear" w:pos="426"/>
              </w:tabs>
              <w:adjustRightInd/>
              <w:snapToGrid/>
              <w:spacing w:line="320" w:lineRule="exact"/>
            </w:pPr>
            <w:r>
              <w:t>■</w:t>
            </w:r>
            <w:r>
              <w:rPr>
                <w:rFonts w:hint="eastAsia"/>
              </w:rPr>
              <w:t>不提交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pPr>
            <w:r>
              <w:t>7</w:t>
            </w:r>
          </w:p>
        </w:tc>
        <w:tc>
          <w:tcPr>
            <w:tcW w:w="1889" w:type="dxa"/>
            <w:vAlign w:val="center"/>
          </w:tcPr>
          <w:p>
            <w:pPr>
              <w:tabs>
                <w:tab w:val="clear" w:pos="426"/>
              </w:tabs>
              <w:adjustRightInd/>
              <w:snapToGrid/>
              <w:spacing w:line="320" w:lineRule="exact"/>
            </w:pPr>
            <w:r>
              <w:t>投标有效期</w:t>
            </w:r>
          </w:p>
        </w:tc>
        <w:tc>
          <w:tcPr>
            <w:tcW w:w="6931" w:type="dxa"/>
            <w:vAlign w:val="center"/>
          </w:tcPr>
          <w:p>
            <w:pPr>
              <w:tabs>
                <w:tab w:val="clear" w:pos="426"/>
              </w:tabs>
              <w:adjustRightInd/>
              <w:snapToGrid/>
              <w:spacing w:line="320" w:lineRule="exact"/>
            </w:pPr>
            <w:r>
              <w:rPr>
                <w:rFonts w:hint="eastAsia"/>
              </w:rPr>
              <w:t>120</w:t>
            </w:r>
            <w:r>
              <w:t>日历天（</w:t>
            </w:r>
            <w:r>
              <w:rPr>
                <w:rFonts w:hint="eastAsia"/>
              </w:rPr>
              <w:t>从投标截止之日算起</w:t>
            </w:r>
            <w: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pPr>
            <w:r>
              <w:t>8</w:t>
            </w:r>
          </w:p>
        </w:tc>
        <w:tc>
          <w:tcPr>
            <w:tcW w:w="1889" w:type="dxa"/>
            <w:vAlign w:val="center"/>
          </w:tcPr>
          <w:p>
            <w:pPr>
              <w:tabs>
                <w:tab w:val="clear" w:pos="426"/>
              </w:tabs>
              <w:adjustRightInd/>
              <w:snapToGrid/>
              <w:spacing w:line="320" w:lineRule="exact"/>
            </w:pPr>
            <w:r>
              <w:rPr>
                <w:rFonts w:hint="eastAsia"/>
              </w:rPr>
              <w:t>替代方案</w:t>
            </w:r>
          </w:p>
        </w:tc>
        <w:tc>
          <w:tcPr>
            <w:tcW w:w="6931" w:type="dxa"/>
            <w:vAlign w:val="center"/>
          </w:tcPr>
          <w:p>
            <w:pPr>
              <w:tabs>
                <w:tab w:val="clear" w:pos="426"/>
              </w:tabs>
              <w:adjustRightInd/>
              <w:snapToGrid/>
              <w:spacing w:line="320" w:lineRule="exact"/>
            </w:pPr>
            <w:r>
              <w:rPr>
                <w:rFonts w:hint="eastAsia"/>
              </w:rPr>
              <w:t>■不允许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pPr>
            <w:r>
              <w:t>9</w:t>
            </w:r>
          </w:p>
        </w:tc>
        <w:tc>
          <w:tcPr>
            <w:tcW w:w="1889" w:type="dxa"/>
            <w:vAlign w:val="center"/>
          </w:tcPr>
          <w:p>
            <w:pPr>
              <w:tabs>
                <w:tab w:val="clear" w:pos="426"/>
              </w:tabs>
              <w:adjustRightInd/>
              <w:snapToGrid/>
              <w:spacing w:line="320" w:lineRule="exact"/>
            </w:pPr>
            <w:r>
              <w:rPr>
                <w:rFonts w:hint="eastAsia"/>
              </w:rPr>
              <w:t>评定分离</w:t>
            </w:r>
          </w:p>
        </w:tc>
        <w:tc>
          <w:tcPr>
            <w:tcW w:w="6931" w:type="dxa"/>
            <w:vAlign w:val="center"/>
          </w:tcPr>
          <w:p>
            <w:pPr>
              <w:tabs>
                <w:tab w:val="clear" w:pos="426"/>
              </w:tabs>
              <w:adjustRightInd/>
              <w:snapToGrid/>
              <w:spacing w:line="320" w:lineRule="exact"/>
            </w:pPr>
            <w:r>
              <w:rPr>
                <w:rFonts w:hint="eastAsia"/>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pPr>
            <w:r>
              <w:t>10</w:t>
            </w:r>
          </w:p>
        </w:tc>
        <w:tc>
          <w:tcPr>
            <w:tcW w:w="1889" w:type="dxa"/>
            <w:vAlign w:val="center"/>
          </w:tcPr>
          <w:p>
            <w:pPr>
              <w:tabs>
                <w:tab w:val="clear" w:pos="426"/>
              </w:tabs>
              <w:adjustRightInd/>
              <w:snapToGrid/>
              <w:spacing w:line="320" w:lineRule="exact"/>
            </w:pPr>
            <w:r>
              <w:t>评标</w:t>
            </w:r>
            <w:r>
              <w:rPr>
                <w:rFonts w:hint="eastAsia"/>
              </w:rPr>
              <w:t>方</w:t>
            </w:r>
            <w:r>
              <w:t>法</w:t>
            </w:r>
          </w:p>
        </w:tc>
        <w:tc>
          <w:tcPr>
            <w:tcW w:w="6931" w:type="dxa"/>
            <w:vAlign w:val="center"/>
          </w:tcPr>
          <w:p>
            <w:pPr>
              <w:tabs>
                <w:tab w:val="clear" w:pos="426"/>
              </w:tabs>
              <w:adjustRightInd/>
              <w:snapToGrid/>
              <w:spacing w:line="320" w:lineRule="exact"/>
              <w:rPr>
                <w:szCs w:val="21"/>
              </w:rPr>
            </w:pPr>
            <w:r>
              <w:t>■</w:t>
            </w:r>
            <w:r>
              <w:rPr>
                <w:rFonts w:hint="eastAsia"/>
                <w:szCs w:val="21"/>
              </w:rPr>
              <w:t>综合评分法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pPr>
            <w:r>
              <w:t>11</w:t>
            </w:r>
          </w:p>
        </w:tc>
        <w:tc>
          <w:tcPr>
            <w:tcW w:w="1889" w:type="dxa"/>
            <w:vAlign w:val="center"/>
          </w:tcPr>
          <w:p>
            <w:pPr>
              <w:tabs>
                <w:tab w:val="clear" w:pos="426"/>
              </w:tabs>
              <w:adjustRightInd/>
              <w:snapToGrid/>
              <w:spacing w:line="320" w:lineRule="exact"/>
            </w:pPr>
            <w:r>
              <w:rPr>
                <w:rFonts w:hint="eastAsia"/>
              </w:rPr>
              <w:t>定</w:t>
            </w:r>
            <w:r>
              <w:t>标</w:t>
            </w:r>
            <w:r>
              <w:rPr>
                <w:rFonts w:hint="eastAsia"/>
              </w:rPr>
              <w:t>方</w:t>
            </w:r>
            <w:r>
              <w:t>法</w:t>
            </w:r>
          </w:p>
        </w:tc>
        <w:tc>
          <w:tcPr>
            <w:tcW w:w="6931" w:type="dxa"/>
            <w:vAlign w:val="center"/>
          </w:tcPr>
          <w:p>
            <w:pPr>
              <w:tabs>
                <w:tab w:val="clear" w:pos="426"/>
              </w:tabs>
              <w:adjustRightInd/>
              <w:snapToGrid/>
              <w:spacing w:line="320" w:lineRule="exact"/>
              <w:rPr>
                <w:szCs w:val="21"/>
              </w:rPr>
            </w:pPr>
            <w: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pPr>
            <w:r>
              <w:rPr>
                <w:rFonts w:hint="eastAsia"/>
              </w:rPr>
              <w:t>12</w:t>
            </w:r>
          </w:p>
        </w:tc>
        <w:tc>
          <w:tcPr>
            <w:tcW w:w="1889" w:type="dxa"/>
            <w:vAlign w:val="center"/>
          </w:tcPr>
          <w:p>
            <w:pPr>
              <w:tabs>
                <w:tab w:val="clear" w:pos="426"/>
              </w:tabs>
              <w:adjustRightInd/>
              <w:snapToGrid/>
              <w:spacing w:line="320" w:lineRule="exact"/>
            </w:pPr>
            <w:r>
              <w:t>履约保证金</w:t>
            </w:r>
          </w:p>
        </w:tc>
        <w:tc>
          <w:tcPr>
            <w:tcW w:w="6931" w:type="dxa"/>
            <w:vAlign w:val="center"/>
          </w:tcPr>
          <w:p>
            <w:pPr>
              <w:tabs>
                <w:tab w:val="clear" w:pos="426"/>
              </w:tabs>
              <w:adjustRightInd/>
              <w:snapToGrid/>
              <w:spacing w:line="320" w:lineRule="exact"/>
            </w:pPr>
            <w:r>
              <w:t>■</w:t>
            </w:r>
            <w:r>
              <w:rPr>
                <w:rFonts w:hint="eastAsia"/>
              </w:rPr>
              <w:t>不提交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pPr>
            <w:r>
              <w:rPr>
                <w:rFonts w:hint="eastAsia"/>
              </w:rPr>
              <w:t>13</w:t>
            </w:r>
          </w:p>
        </w:tc>
        <w:tc>
          <w:tcPr>
            <w:tcW w:w="1889" w:type="dxa"/>
            <w:vAlign w:val="center"/>
          </w:tcPr>
          <w:p>
            <w:pPr>
              <w:tabs>
                <w:tab w:val="clear" w:pos="426"/>
              </w:tabs>
              <w:adjustRightInd/>
              <w:snapToGrid/>
              <w:spacing w:line="320" w:lineRule="exact"/>
            </w:pPr>
            <w:r>
              <w:t>投标文件份数</w:t>
            </w:r>
          </w:p>
        </w:tc>
        <w:tc>
          <w:tcPr>
            <w:tcW w:w="6931" w:type="dxa"/>
            <w:vAlign w:val="center"/>
          </w:tcPr>
          <w:p>
            <w:pPr>
              <w:tabs>
                <w:tab w:val="clear" w:pos="426"/>
              </w:tabs>
              <w:adjustRightInd/>
              <w:snapToGrid/>
              <w:spacing w:line="320" w:lineRule="exact"/>
            </w:pPr>
            <w:r>
              <w:rPr>
                <w:rFonts w:hint="eastAsia"/>
              </w:rPr>
              <w:t>（1）开标信封一份；</w:t>
            </w:r>
          </w:p>
          <w:p>
            <w:pPr>
              <w:tabs>
                <w:tab w:val="clear" w:pos="426"/>
              </w:tabs>
              <w:adjustRightInd/>
              <w:snapToGrid/>
              <w:spacing w:line="320" w:lineRule="exact"/>
            </w:pPr>
            <w:r>
              <w:rPr>
                <w:rFonts w:hint="eastAsia"/>
              </w:rPr>
              <w:t>（</w:t>
            </w:r>
            <w:r>
              <w:t>2）纸质投标文件一正本，</w:t>
            </w:r>
            <w:r>
              <w:rPr>
                <w:rFonts w:hint="eastAsia"/>
              </w:rPr>
              <w:t>四</w:t>
            </w:r>
            <w:r>
              <w:t>副本</w:t>
            </w:r>
            <w:r>
              <w:rPr>
                <w:rFonts w:hint="eastAsia"/>
              </w:rPr>
              <w:t>，建议胶装，统一密封在一个外密封包里。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50" w:type="dxa"/>
            <w:vAlign w:val="center"/>
          </w:tcPr>
          <w:p>
            <w:pPr>
              <w:tabs>
                <w:tab w:val="clear" w:pos="426"/>
              </w:tabs>
              <w:adjustRightInd/>
              <w:snapToGrid/>
              <w:spacing w:line="320" w:lineRule="exact"/>
              <w:jc w:val="center"/>
            </w:pPr>
            <w:r>
              <w:t>14</w:t>
            </w:r>
          </w:p>
        </w:tc>
        <w:tc>
          <w:tcPr>
            <w:tcW w:w="1889" w:type="dxa"/>
            <w:vAlign w:val="center"/>
          </w:tcPr>
          <w:p>
            <w:pPr>
              <w:tabs>
                <w:tab w:val="clear" w:pos="426"/>
              </w:tabs>
              <w:adjustRightInd/>
              <w:snapToGrid/>
              <w:spacing w:line="320" w:lineRule="exact"/>
            </w:pPr>
            <w:r>
              <w:rPr>
                <w:rFonts w:hint="eastAsia"/>
              </w:rPr>
              <w:t>投标文件电子版</w:t>
            </w:r>
          </w:p>
        </w:tc>
        <w:tc>
          <w:tcPr>
            <w:tcW w:w="6931" w:type="dxa"/>
            <w:vAlign w:val="center"/>
          </w:tcPr>
          <w:p>
            <w:pPr>
              <w:tabs>
                <w:tab w:val="clear" w:pos="426"/>
              </w:tabs>
              <w:adjustRightInd/>
              <w:snapToGrid/>
              <w:spacing w:line="320" w:lineRule="exact"/>
            </w:pPr>
            <w:r>
              <w:rPr>
                <w:rFonts w:hint="eastAsia"/>
              </w:rPr>
              <w:t>U盘一张（</w:t>
            </w:r>
            <w:r>
              <w:t>WORD及投标文件正本盖章后的彩色扫描件，PDF格式）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pPr>
            <w:r>
              <w:t>15</w:t>
            </w:r>
          </w:p>
        </w:tc>
        <w:tc>
          <w:tcPr>
            <w:tcW w:w="1889" w:type="dxa"/>
            <w:vAlign w:val="center"/>
          </w:tcPr>
          <w:p>
            <w:pPr>
              <w:tabs>
                <w:tab w:val="clear" w:pos="426"/>
              </w:tabs>
              <w:adjustRightInd/>
              <w:snapToGrid/>
              <w:spacing w:line="320" w:lineRule="exact"/>
            </w:pPr>
            <w:r>
              <w:rPr>
                <w:rFonts w:hint="eastAsia"/>
              </w:rPr>
              <w:t>预算金额</w:t>
            </w:r>
          </w:p>
        </w:tc>
        <w:tc>
          <w:tcPr>
            <w:tcW w:w="6931" w:type="dxa"/>
            <w:vAlign w:val="center"/>
          </w:tcPr>
          <w:p>
            <w:pPr>
              <w:tabs>
                <w:tab w:val="clear" w:pos="426"/>
              </w:tabs>
              <w:adjustRightInd/>
              <w:snapToGrid/>
              <w:spacing w:line="320" w:lineRule="exact"/>
            </w:pPr>
            <w:r>
              <w:rPr>
                <w:rFonts w:hint="eastAsia"/>
              </w:rPr>
              <w:t>预算金额：</w:t>
            </w:r>
            <w:r>
              <w:rPr>
                <w:rFonts w:hint="eastAsia"/>
                <w:bCs/>
                <w:szCs w:val="21"/>
              </w:rPr>
              <w:t>￥487.351000 万元（人民币肆佰捌拾柒万叁仟伍佰壹拾元整）</w:t>
            </w:r>
            <w:r>
              <w:rPr>
                <w:rFonts w:hint="eastAsia"/>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pPr>
            <w:r>
              <w:t>1</w:t>
            </w:r>
            <w:r>
              <w:rPr>
                <w:rFonts w:hint="eastAsia"/>
              </w:rPr>
              <w:t>6</w:t>
            </w:r>
          </w:p>
        </w:tc>
        <w:tc>
          <w:tcPr>
            <w:tcW w:w="1889" w:type="dxa"/>
            <w:vAlign w:val="center"/>
          </w:tcPr>
          <w:p>
            <w:pPr>
              <w:tabs>
                <w:tab w:val="clear" w:pos="426"/>
              </w:tabs>
              <w:adjustRightInd/>
              <w:snapToGrid/>
              <w:spacing w:line="320" w:lineRule="exact"/>
            </w:pPr>
            <w:r>
              <w:rPr>
                <w:rFonts w:hint="eastAsia"/>
              </w:rPr>
              <w:t>最高限价</w:t>
            </w:r>
          </w:p>
        </w:tc>
        <w:tc>
          <w:tcPr>
            <w:tcW w:w="6931" w:type="dxa"/>
            <w:vAlign w:val="center"/>
          </w:tcPr>
          <w:p>
            <w:pPr>
              <w:tabs>
                <w:tab w:val="clear" w:pos="426"/>
              </w:tabs>
              <w:adjustRightInd/>
              <w:snapToGrid/>
              <w:spacing w:line="320" w:lineRule="exact"/>
            </w:pPr>
            <w:r>
              <w:rPr>
                <w:rFonts w:hint="eastAsia"/>
              </w:rPr>
              <w:t>最高限价：</w:t>
            </w:r>
            <w:r>
              <w:rPr>
                <w:rFonts w:hint="eastAsia"/>
                <w:bCs/>
                <w:szCs w:val="21"/>
              </w:rPr>
              <w:t>￥487.351000 万元（人民币肆佰捌拾柒万叁仟伍佰壹拾元整）</w:t>
            </w:r>
            <w:r>
              <w:rPr>
                <w:rFonts w:hint="eastAsia"/>
              </w:rPr>
              <w:t>。超出最高限价的投标文件则投标无效。</w:t>
            </w:r>
          </w:p>
        </w:tc>
      </w:tr>
    </w:tbl>
    <w:p>
      <w:pPr>
        <w:pStyle w:val="62"/>
        <w:tabs>
          <w:tab w:val="left" w:pos="3445"/>
          <w:tab w:val="clear" w:pos="426"/>
        </w:tabs>
      </w:pPr>
      <w:r>
        <w:br w:type="page"/>
      </w:r>
      <w:bookmarkStart w:id="78" w:name="_Toc24832"/>
      <w:bookmarkStart w:id="79" w:name="_Toc398220525"/>
      <w:bookmarkStart w:id="80" w:name="_Toc432592816"/>
      <w:r>
        <w:rPr>
          <w:rFonts w:hint="eastAsia"/>
        </w:rPr>
        <w:t>第三章 项目需求</w:t>
      </w:r>
      <w:bookmarkEnd w:id="78"/>
    </w:p>
    <w:p>
      <w:pPr>
        <w:numPr>
          <w:ilvl w:val="0"/>
          <w:numId w:val="3"/>
        </w:numPr>
        <w:adjustRightInd/>
        <w:snapToGrid/>
        <w:spacing w:before="280" w:after="290" w:line="377" w:lineRule="auto"/>
        <w:jc w:val="left"/>
        <w:outlineLvl w:val="2"/>
        <w:rPr>
          <w:b/>
          <w:sz w:val="24"/>
        </w:rPr>
      </w:pPr>
      <w:bookmarkStart w:id="81" w:name="_Toc26265"/>
      <w:r>
        <w:rPr>
          <w:b/>
          <w:sz w:val="24"/>
        </w:rPr>
        <w:t>货物清单</w:t>
      </w:r>
      <w:r>
        <w:rPr>
          <w:rFonts w:hint="eastAsia"/>
          <w:b/>
          <w:sz w:val="24"/>
        </w:rPr>
        <w:t>一览表</w:t>
      </w:r>
      <w:bookmarkEnd w:id="81"/>
    </w:p>
    <w:p>
      <w:pPr>
        <w:widowControl w:val="0"/>
        <w:shd w:val="clear" w:color="auto" w:fill="auto"/>
        <w:tabs>
          <w:tab w:val="clear" w:pos="426"/>
        </w:tabs>
        <w:adjustRightInd/>
        <w:snapToGrid/>
        <w:spacing w:before="231" w:beforeLines="50" w:line="300" w:lineRule="auto"/>
        <w:ind w:firstLine="422" w:firstLineChars="200"/>
        <w:rPr>
          <w:rFonts w:cs="Times New Roman"/>
          <w:b/>
          <w:bCs/>
          <w:kern w:val="2"/>
          <w:szCs w:val="21"/>
        </w:rPr>
      </w:pPr>
      <w:r>
        <w:rPr>
          <w:rFonts w:hint="eastAsia" w:cs="Times New Roman"/>
          <w:b/>
          <w:bCs/>
          <w:kern w:val="2"/>
          <w:szCs w:val="21"/>
        </w:rPr>
        <w:t>（一）货物总清单</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3656"/>
        <w:gridCol w:w="968"/>
        <w:gridCol w:w="880"/>
        <w:gridCol w:w="1447"/>
        <w:gridCol w:w="1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序号</w:t>
            </w:r>
          </w:p>
        </w:tc>
        <w:tc>
          <w:tcPr>
            <w:tcW w:w="1910"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项目名称</w:t>
            </w:r>
          </w:p>
        </w:tc>
        <w:tc>
          <w:tcPr>
            <w:tcW w:w="506"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数量</w:t>
            </w:r>
          </w:p>
        </w:tc>
        <w:tc>
          <w:tcPr>
            <w:tcW w:w="460"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单位</w:t>
            </w:r>
          </w:p>
        </w:tc>
        <w:tc>
          <w:tcPr>
            <w:tcW w:w="756"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备注</w:t>
            </w:r>
          </w:p>
        </w:tc>
        <w:tc>
          <w:tcPr>
            <w:tcW w:w="1015"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hint="eastAsia" w:cs="Times New Roman"/>
                <w:b/>
                <w:bCs/>
                <w:szCs w:val="21"/>
              </w:rPr>
              <w:t>财政</w:t>
            </w:r>
            <w:r>
              <w:rPr>
                <w:rFonts w:cs="Times New Roman"/>
                <w:b/>
                <w:bCs/>
                <w:szCs w:val="21"/>
              </w:rPr>
              <w:t>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pPr>
              <w:tabs>
                <w:tab w:val="clear" w:pos="426"/>
              </w:tabs>
              <w:spacing w:line="240" w:lineRule="auto"/>
              <w:jc w:val="center"/>
              <w:rPr>
                <w:szCs w:val="21"/>
              </w:rPr>
            </w:pPr>
            <w:r>
              <w:rPr>
                <w:rFonts w:hint="eastAsia"/>
                <w:szCs w:val="21"/>
              </w:rPr>
              <w:t>1</w:t>
            </w:r>
          </w:p>
        </w:tc>
        <w:tc>
          <w:tcPr>
            <w:tcW w:w="1910" w:type="pct"/>
            <w:vAlign w:val="center"/>
          </w:tcPr>
          <w:p>
            <w:pPr>
              <w:spacing w:line="240" w:lineRule="auto"/>
              <w:jc w:val="center"/>
            </w:pPr>
            <w:r>
              <w:rPr>
                <w:rFonts w:hint="eastAsia"/>
              </w:rPr>
              <w:t>广东省深圳市宝安区消防救援大队2024年一级站(新建站)、二级站指挥调度系统设备购置项目</w:t>
            </w:r>
          </w:p>
        </w:tc>
        <w:tc>
          <w:tcPr>
            <w:tcW w:w="506" w:type="pct"/>
            <w:vAlign w:val="center"/>
          </w:tcPr>
          <w:p>
            <w:pPr>
              <w:tabs>
                <w:tab w:val="clear" w:pos="426"/>
              </w:tabs>
              <w:spacing w:line="240" w:lineRule="auto"/>
              <w:jc w:val="center"/>
              <w:rPr>
                <w:szCs w:val="21"/>
              </w:rPr>
            </w:pPr>
            <w:r>
              <w:rPr>
                <w:rFonts w:hint="eastAsia"/>
                <w:szCs w:val="21"/>
              </w:rPr>
              <w:t>1</w:t>
            </w:r>
          </w:p>
        </w:tc>
        <w:tc>
          <w:tcPr>
            <w:tcW w:w="460" w:type="pct"/>
            <w:vAlign w:val="center"/>
          </w:tcPr>
          <w:p>
            <w:pPr>
              <w:tabs>
                <w:tab w:val="clear" w:pos="426"/>
              </w:tabs>
              <w:spacing w:line="240" w:lineRule="auto"/>
              <w:jc w:val="center"/>
              <w:rPr>
                <w:szCs w:val="21"/>
              </w:rPr>
            </w:pPr>
            <w:r>
              <w:rPr>
                <w:rFonts w:hint="eastAsia"/>
                <w:szCs w:val="21"/>
              </w:rPr>
              <w:t>批</w:t>
            </w:r>
          </w:p>
        </w:tc>
        <w:tc>
          <w:tcPr>
            <w:tcW w:w="756" w:type="pct"/>
            <w:vAlign w:val="center"/>
          </w:tcPr>
          <w:p>
            <w:pPr>
              <w:tabs>
                <w:tab w:val="clear" w:pos="426"/>
              </w:tabs>
              <w:spacing w:line="240" w:lineRule="auto"/>
              <w:jc w:val="center"/>
              <w:rPr>
                <w:bCs/>
                <w:szCs w:val="21"/>
              </w:rPr>
            </w:pPr>
            <w:r>
              <w:rPr>
                <w:rFonts w:hint="eastAsia"/>
                <w:bCs/>
                <w:szCs w:val="21"/>
              </w:rPr>
              <w:t>不接受进口</w:t>
            </w:r>
          </w:p>
        </w:tc>
        <w:tc>
          <w:tcPr>
            <w:tcW w:w="1015" w:type="pct"/>
            <w:vAlign w:val="center"/>
          </w:tcPr>
          <w:p>
            <w:pPr>
              <w:widowControl w:val="0"/>
              <w:shd w:val="clear" w:color="auto" w:fill="auto"/>
              <w:tabs>
                <w:tab w:val="clear" w:pos="426"/>
              </w:tabs>
              <w:adjustRightInd/>
              <w:snapToGrid/>
              <w:spacing w:line="240" w:lineRule="auto"/>
              <w:jc w:val="center"/>
              <w:rPr>
                <w:rFonts w:cs="Times New Roman"/>
                <w:szCs w:val="21"/>
              </w:rPr>
            </w:pPr>
            <w:r>
              <w:rPr>
                <w:rFonts w:hint="eastAsia" w:cs="Times New Roman"/>
                <w:szCs w:val="21"/>
              </w:rPr>
              <w:t xml:space="preserve">4,873,510.00 </w:t>
            </w:r>
          </w:p>
        </w:tc>
      </w:tr>
    </w:tbl>
    <w:p>
      <w:pPr>
        <w:widowControl w:val="0"/>
        <w:shd w:val="clear" w:color="auto" w:fill="auto"/>
        <w:tabs>
          <w:tab w:val="clear" w:pos="426"/>
        </w:tabs>
        <w:adjustRightInd/>
        <w:snapToGrid/>
        <w:spacing w:before="231" w:beforeLines="50" w:line="300" w:lineRule="auto"/>
        <w:ind w:firstLine="422" w:firstLineChars="200"/>
        <w:rPr>
          <w:rFonts w:cs="Times New Roman"/>
          <w:b/>
          <w:bCs/>
          <w:kern w:val="2"/>
          <w:szCs w:val="21"/>
        </w:rPr>
      </w:pPr>
      <w:r>
        <w:rPr>
          <w:rFonts w:hint="eastAsia" w:cs="Times New Roman"/>
          <w:b/>
          <w:bCs/>
          <w:kern w:val="2"/>
          <w:szCs w:val="21"/>
        </w:rPr>
        <w:t>（二）</w:t>
      </w:r>
      <w:r>
        <w:rPr>
          <w:rFonts w:cs="Times New Roman"/>
          <w:b/>
          <w:bCs/>
          <w:kern w:val="2"/>
          <w:szCs w:val="21"/>
        </w:rPr>
        <w:t>货物清单</w:t>
      </w:r>
      <w:r>
        <w:rPr>
          <w:rFonts w:hint="eastAsia" w:cs="Times New Roman"/>
          <w:b/>
          <w:bCs/>
          <w:kern w:val="2"/>
          <w:szCs w:val="21"/>
        </w:rPr>
        <w:t>明细</w:t>
      </w:r>
    </w:p>
    <w:tbl>
      <w:tblPr>
        <w:tblStyle w:val="85"/>
        <w:tblW w:w="8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3176"/>
        <w:gridCol w:w="1305"/>
        <w:gridCol w:w="1278"/>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widowControl w:val="0"/>
              <w:spacing w:line="240" w:lineRule="auto"/>
              <w:jc w:val="center"/>
              <w:rPr>
                <w:b/>
                <w:bCs w:val="0"/>
                <w:szCs w:val="21"/>
              </w:rPr>
            </w:pPr>
            <w:r>
              <w:rPr>
                <w:rFonts w:hint="eastAsia"/>
                <w:b/>
                <w:bCs w:val="0"/>
                <w:szCs w:val="21"/>
              </w:rPr>
              <w:t>序号</w:t>
            </w:r>
          </w:p>
        </w:tc>
        <w:tc>
          <w:tcPr>
            <w:tcW w:w="3176" w:type="dxa"/>
            <w:vAlign w:val="center"/>
          </w:tcPr>
          <w:p>
            <w:pPr>
              <w:widowControl w:val="0"/>
              <w:spacing w:line="240" w:lineRule="auto"/>
              <w:jc w:val="center"/>
              <w:rPr>
                <w:b/>
                <w:bCs w:val="0"/>
                <w:szCs w:val="21"/>
              </w:rPr>
            </w:pPr>
            <w:r>
              <w:rPr>
                <w:rFonts w:hint="eastAsia"/>
                <w:b/>
                <w:bCs w:val="0"/>
                <w:szCs w:val="21"/>
              </w:rPr>
              <w:t>（标的）货物名称</w:t>
            </w:r>
          </w:p>
        </w:tc>
        <w:tc>
          <w:tcPr>
            <w:tcW w:w="1305" w:type="dxa"/>
            <w:vAlign w:val="center"/>
          </w:tcPr>
          <w:p>
            <w:pPr>
              <w:widowControl w:val="0"/>
              <w:spacing w:line="240" w:lineRule="auto"/>
              <w:jc w:val="center"/>
              <w:rPr>
                <w:b/>
                <w:bCs w:val="0"/>
                <w:szCs w:val="21"/>
              </w:rPr>
            </w:pPr>
            <w:r>
              <w:rPr>
                <w:rFonts w:hint="eastAsia"/>
                <w:b/>
                <w:bCs w:val="0"/>
                <w:szCs w:val="21"/>
              </w:rPr>
              <w:t>数量</w:t>
            </w:r>
          </w:p>
        </w:tc>
        <w:tc>
          <w:tcPr>
            <w:tcW w:w="1278" w:type="dxa"/>
            <w:vAlign w:val="center"/>
          </w:tcPr>
          <w:p>
            <w:pPr>
              <w:widowControl w:val="0"/>
              <w:spacing w:line="240" w:lineRule="auto"/>
              <w:jc w:val="center"/>
              <w:rPr>
                <w:b/>
                <w:bCs w:val="0"/>
                <w:szCs w:val="21"/>
              </w:rPr>
            </w:pPr>
            <w:r>
              <w:rPr>
                <w:rFonts w:hint="eastAsia"/>
                <w:b/>
                <w:bCs w:val="0"/>
                <w:szCs w:val="21"/>
              </w:rPr>
              <w:t>单位</w:t>
            </w:r>
          </w:p>
        </w:tc>
        <w:tc>
          <w:tcPr>
            <w:tcW w:w="1805" w:type="dxa"/>
            <w:vAlign w:val="center"/>
          </w:tcPr>
          <w:p>
            <w:pPr>
              <w:widowControl w:val="0"/>
              <w:spacing w:line="240" w:lineRule="auto"/>
              <w:jc w:val="center"/>
              <w:rPr>
                <w:b/>
                <w:bCs w:val="0"/>
                <w:szCs w:val="21"/>
              </w:rPr>
            </w:pPr>
            <w:r>
              <w:rPr>
                <w:rFonts w:hint="eastAsia"/>
                <w:b/>
                <w:bCs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widowControl w:val="0"/>
              <w:spacing w:line="240" w:lineRule="auto"/>
              <w:jc w:val="center"/>
              <w:rPr>
                <w:bCs/>
                <w:szCs w:val="21"/>
              </w:rPr>
            </w:pPr>
            <w:r>
              <w:rPr>
                <w:rFonts w:hint="eastAsia"/>
                <w:bCs/>
                <w:szCs w:val="21"/>
              </w:rPr>
              <w:t>1</w:t>
            </w:r>
          </w:p>
        </w:tc>
        <w:tc>
          <w:tcPr>
            <w:tcW w:w="3176" w:type="dxa"/>
            <w:vAlign w:val="center"/>
          </w:tcPr>
          <w:p>
            <w:pPr>
              <w:widowControl w:val="0"/>
              <w:spacing w:line="240" w:lineRule="auto"/>
              <w:jc w:val="center"/>
              <w:rPr>
                <w:bCs/>
                <w:szCs w:val="21"/>
              </w:rPr>
            </w:pPr>
            <w:r>
              <w:rPr>
                <w:rFonts w:hint="eastAsia"/>
                <w:bCs/>
                <w:szCs w:val="21"/>
              </w:rPr>
              <w:t>指挥研判终端</w:t>
            </w:r>
          </w:p>
        </w:tc>
        <w:tc>
          <w:tcPr>
            <w:tcW w:w="1305" w:type="dxa"/>
            <w:vAlign w:val="center"/>
          </w:tcPr>
          <w:p>
            <w:pPr>
              <w:widowControl w:val="0"/>
              <w:spacing w:line="240" w:lineRule="auto"/>
              <w:jc w:val="center"/>
              <w:rPr>
                <w:bCs/>
                <w:szCs w:val="21"/>
              </w:rPr>
            </w:pPr>
            <w:r>
              <w:rPr>
                <w:rFonts w:hint="eastAsia"/>
                <w:bCs/>
                <w:szCs w:val="21"/>
              </w:rPr>
              <w:t>33</w:t>
            </w:r>
          </w:p>
        </w:tc>
        <w:tc>
          <w:tcPr>
            <w:tcW w:w="1278" w:type="dxa"/>
            <w:vAlign w:val="center"/>
          </w:tcPr>
          <w:p>
            <w:pPr>
              <w:widowControl w:val="0"/>
              <w:spacing w:line="240" w:lineRule="auto"/>
              <w:jc w:val="center"/>
              <w:rPr>
                <w:bCs/>
                <w:szCs w:val="21"/>
              </w:rPr>
            </w:pPr>
            <w:r>
              <w:rPr>
                <w:rFonts w:hint="eastAsia"/>
                <w:bCs/>
                <w:szCs w:val="21"/>
              </w:rPr>
              <w:t>台</w:t>
            </w:r>
          </w:p>
        </w:tc>
        <w:tc>
          <w:tcPr>
            <w:tcW w:w="1805" w:type="dxa"/>
            <w:vAlign w:val="center"/>
          </w:tcPr>
          <w:p>
            <w:pPr>
              <w:widowControl w:val="0"/>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widowControl w:val="0"/>
              <w:spacing w:line="240" w:lineRule="auto"/>
              <w:jc w:val="center"/>
              <w:rPr>
                <w:bCs/>
                <w:szCs w:val="21"/>
              </w:rPr>
            </w:pPr>
            <w:r>
              <w:rPr>
                <w:rFonts w:hint="eastAsia"/>
                <w:bCs/>
                <w:szCs w:val="21"/>
              </w:rPr>
              <w:t>2</w:t>
            </w:r>
          </w:p>
        </w:tc>
        <w:tc>
          <w:tcPr>
            <w:tcW w:w="3176" w:type="dxa"/>
            <w:vAlign w:val="center"/>
          </w:tcPr>
          <w:p>
            <w:pPr>
              <w:widowControl w:val="0"/>
              <w:spacing w:line="240" w:lineRule="auto"/>
              <w:jc w:val="center"/>
              <w:rPr>
                <w:bCs/>
                <w:szCs w:val="21"/>
              </w:rPr>
            </w:pPr>
            <w:r>
              <w:rPr>
                <w:rFonts w:hint="eastAsia"/>
                <w:bCs/>
                <w:szCs w:val="21"/>
              </w:rPr>
              <w:t>专用采集设备</w:t>
            </w:r>
          </w:p>
        </w:tc>
        <w:tc>
          <w:tcPr>
            <w:tcW w:w="1305" w:type="dxa"/>
            <w:vAlign w:val="center"/>
          </w:tcPr>
          <w:p>
            <w:pPr>
              <w:widowControl w:val="0"/>
              <w:spacing w:line="240" w:lineRule="auto"/>
              <w:jc w:val="center"/>
              <w:rPr>
                <w:bCs/>
                <w:szCs w:val="21"/>
              </w:rPr>
            </w:pPr>
            <w:r>
              <w:rPr>
                <w:rFonts w:hint="eastAsia"/>
                <w:bCs/>
                <w:szCs w:val="21"/>
              </w:rPr>
              <w:t>33</w:t>
            </w:r>
          </w:p>
        </w:tc>
        <w:tc>
          <w:tcPr>
            <w:tcW w:w="1278" w:type="dxa"/>
            <w:vAlign w:val="center"/>
          </w:tcPr>
          <w:p>
            <w:pPr>
              <w:widowControl w:val="0"/>
              <w:spacing w:line="240" w:lineRule="auto"/>
              <w:jc w:val="center"/>
              <w:rPr>
                <w:bCs/>
                <w:szCs w:val="21"/>
              </w:rPr>
            </w:pPr>
            <w:r>
              <w:rPr>
                <w:rFonts w:hint="eastAsia"/>
                <w:bCs/>
                <w:szCs w:val="21"/>
              </w:rPr>
              <w:t>台</w:t>
            </w:r>
          </w:p>
        </w:tc>
        <w:tc>
          <w:tcPr>
            <w:tcW w:w="1805" w:type="dxa"/>
            <w:vAlign w:val="center"/>
          </w:tcPr>
          <w:p>
            <w:pPr>
              <w:widowControl w:val="0"/>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widowControl w:val="0"/>
              <w:spacing w:line="240" w:lineRule="auto"/>
              <w:jc w:val="center"/>
              <w:rPr>
                <w:bCs/>
                <w:szCs w:val="21"/>
              </w:rPr>
            </w:pPr>
            <w:r>
              <w:rPr>
                <w:rFonts w:hint="eastAsia"/>
                <w:bCs/>
                <w:szCs w:val="21"/>
              </w:rPr>
              <w:t>3</w:t>
            </w:r>
          </w:p>
        </w:tc>
        <w:tc>
          <w:tcPr>
            <w:tcW w:w="3176" w:type="dxa"/>
            <w:vAlign w:val="center"/>
          </w:tcPr>
          <w:p>
            <w:pPr>
              <w:widowControl w:val="0"/>
              <w:spacing w:line="240" w:lineRule="auto"/>
              <w:jc w:val="center"/>
              <w:rPr>
                <w:bCs/>
                <w:szCs w:val="21"/>
              </w:rPr>
            </w:pPr>
            <w:r>
              <w:rPr>
                <w:rFonts w:hint="eastAsia"/>
                <w:bCs/>
                <w:szCs w:val="21"/>
              </w:rPr>
              <w:t>专用三脚架</w:t>
            </w:r>
          </w:p>
        </w:tc>
        <w:tc>
          <w:tcPr>
            <w:tcW w:w="1305" w:type="dxa"/>
            <w:vAlign w:val="center"/>
          </w:tcPr>
          <w:p>
            <w:pPr>
              <w:widowControl w:val="0"/>
              <w:spacing w:line="240" w:lineRule="auto"/>
              <w:jc w:val="center"/>
              <w:rPr>
                <w:bCs/>
                <w:szCs w:val="21"/>
              </w:rPr>
            </w:pPr>
            <w:r>
              <w:rPr>
                <w:rFonts w:hint="eastAsia"/>
                <w:bCs/>
                <w:szCs w:val="21"/>
              </w:rPr>
              <w:t>33</w:t>
            </w:r>
          </w:p>
        </w:tc>
        <w:tc>
          <w:tcPr>
            <w:tcW w:w="1278" w:type="dxa"/>
            <w:vAlign w:val="center"/>
          </w:tcPr>
          <w:p>
            <w:pPr>
              <w:widowControl w:val="0"/>
              <w:spacing w:line="240" w:lineRule="auto"/>
              <w:jc w:val="center"/>
              <w:rPr>
                <w:bCs/>
                <w:szCs w:val="21"/>
              </w:rPr>
            </w:pPr>
            <w:r>
              <w:rPr>
                <w:rFonts w:hint="eastAsia"/>
                <w:bCs/>
                <w:szCs w:val="21"/>
              </w:rPr>
              <w:t>套</w:t>
            </w:r>
          </w:p>
        </w:tc>
        <w:tc>
          <w:tcPr>
            <w:tcW w:w="1805" w:type="dxa"/>
            <w:vAlign w:val="center"/>
          </w:tcPr>
          <w:p>
            <w:pPr>
              <w:widowControl w:val="0"/>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widowControl w:val="0"/>
              <w:spacing w:line="240" w:lineRule="auto"/>
              <w:jc w:val="center"/>
              <w:rPr>
                <w:bCs/>
                <w:szCs w:val="21"/>
              </w:rPr>
            </w:pPr>
            <w:r>
              <w:rPr>
                <w:rFonts w:hint="eastAsia"/>
                <w:bCs/>
                <w:szCs w:val="21"/>
              </w:rPr>
              <w:t>4</w:t>
            </w:r>
          </w:p>
        </w:tc>
        <w:tc>
          <w:tcPr>
            <w:tcW w:w="3176" w:type="dxa"/>
            <w:vAlign w:val="center"/>
          </w:tcPr>
          <w:p>
            <w:pPr>
              <w:widowControl w:val="0"/>
              <w:spacing w:line="240" w:lineRule="auto"/>
              <w:jc w:val="center"/>
              <w:rPr>
                <w:bCs/>
                <w:szCs w:val="21"/>
              </w:rPr>
            </w:pPr>
            <w:r>
              <w:rPr>
                <w:rFonts w:hint="eastAsia"/>
                <w:bCs/>
                <w:szCs w:val="21"/>
              </w:rPr>
              <w:t>网线</w:t>
            </w:r>
          </w:p>
        </w:tc>
        <w:tc>
          <w:tcPr>
            <w:tcW w:w="1305" w:type="dxa"/>
            <w:vAlign w:val="center"/>
          </w:tcPr>
          <w:p>
            <w:pPr>
              <w:widowControl w:val="0"/>
              <w:spacing w:line="240" w:lineRule="auto"/>
              <w:jc w:val="center"/>
              <w:rPr>
                <w:bCs/>
                <w:szCs w:val="21"/>
              </w:rPr>
            </w:pPr>
            <w:r>
              <w:rPr>
                <w:rFonts w:hint="eastAsia"/>
                <w:bCs/>
                <w:szCs w:val="21"/>
              </w:rPr>
              <w:t>6600</w:t>
            </w:r>
          </w:p>
        </w:tc>
        <w:tc>
          <w:tcPr>
            <w:tcW w:w="1278" w:type="dxa"/>
            <w:vAlign w:val="center"/>
          </w:tcPr>
          <w:p>
            <w:pPr>
              <w:widowControl w:val="0"/>
              <w:spacing w:line="240" w:lineRule="auto"/>
              <w:jc w:val="center"/>
              <w:rPr>
                <w:bCs/>
                <w:szCs w:val="21"/>
              </w:rPr>
            </w:pPr>
            <w:r>
              <w:rPr>
                <w:rFonts w:hint="eastAsia"/>
                <w:bCs/>
                <w:szCs w:val="21"/>
              </w:rPr>
              <w:t>米</w:t>
            </w:r>
          </w:p>
        </w:tc>
        <w:tc>
          <w:tcPr>
            <w:tcW w:w="1805" w:type="dxa"/>
            <w:vAlign w:val="center"/>
          </w:tcPr>
          <w:p>
            <w:pPr>
              <w:widowControl w:val="0"/>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widowControl w:val="0"/>
              <w:spacing w:line="240" w:lineRule="auto"/>
              <w:jc w:val="center"/>
              <w:rPr>
                <w:bCs/>
                <w:szCs w:val="21"/>
              </w:rPr>
            </w:pPr>
            <w:r>
              <w:rPr>
                <w:rFonts w:hint="eastAsia"/>
                <w:bCs/>
                <w:szCs w:val="21"/>
              </w:rPr>
              <w:t>5</w:t>
            </w:r>
          </w:p>
        </w:tc>
        <w:tc>
          <w:tcPr>
            <w:tcW w:w="3176" w:type="dxa"/>
            <w:vAlign w:val="center"/>
          </w:tcPr>
          <w:p>
            <w:pPr>
              <w:widowControl w:val="0"/>
              <w:spacing w:line="240" w:lineRule="auto"/>
              <w:jc w:val="center"/>
              <w:rPr>
                <w:bCs/>
                <w:szCs w:val="21"/>
              </w:rPr>
            </w:pPr>
            <w:r>
              <w:rPr>
                <w:rFonts w:hint="eastAsia"/>
                <w:bCs/>
                <w:szCs w:val="21"/>
              </w:rPr>
              <w:t>操控屏</w:t>
            </w:r>
          </w:p>
        </w:tc>
        <w:tc>
          <w:tcPr>
            <w:tcW w:w="1305" w:type="dxa"/>
            <w:vAlign w:val="center"/>
          </w:tcPr>
          <w:p>
            <w:pPr>
              <w:widowControl w:val="0"/>
              <w:spacing w:line="240" w:lineRule="auto"/>
              <w:jc w:val="center"/>
              <w:rPr>
                <w:bCs/>
                <w:szCs w:val="21"/>
              </w:rPr>
            </w:pPr>
            <w:r>
              <w:rPr>
                <w:rFonts w:hint="eastAsia"/>
                <w:bCs/>
                <w:szCs w:val="21"/>
              </w:rPr>
              <w:t>33</w:t>
            </w:r>
          </w:p>
        </w:tc>
        <w:tc>
          <w:tcPr>
            <w:tcW w:w="1278" w:type="dxa"/>
            <w:vAlign w:val="center"/>
          </w:tcPr>
          <w:p>
            <w:pPr>
              <w:widowControl w:val="0"/>
              <w:spacing w:line="240" w:lineRule="auto"/>
              <w:jc w:val="center"/>
              <w:rPr>
                <w:bCs/>
                <w:szCs w:val="21"/>
              </w:rPr>
            </w:pPr>
            <w:r>
              <w:rPr>
                <w:rFonts w:hint="eastAsia"/>
                <w:bCs/>
                <w:szCs w:val="21"/>
              </w:rPr>
              <w:t>台</w:t>
            </w:r>
          </w:p>
        </w:tc>
        <w:tc>
          <w:tcPr>
            <w:tcW w:w="1805" w:type="dxa"/>
            <w:vAlign w:val="center"/>
          </w:tcPr>
          <w:p>
            <w:pPr>
              <w:widowControl w:val="0"/>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widowControl w:val="0"/>
              <w:spacing w:line="240" w:lineRule="auto"/>
              <w:jc w:val="center"/>
              <w:rPr>
                <w:bCs/>
                <w:szCs w:val="21"/>
              </w:rPr>
            </w:pPr>
            <w:r>
              <w:rPr>
                <w:rFonts w:hint="eastAsia"/>
                <w:bCs/>
                <w:szCs w:val="21"/>
              </w:rPr>
              <w:t>6</w:t>
            </w:r>
          </w:p>
        </w:tc>
        <w:tc>
          <w:tcPr>
            <w:tcW w:w="3176" w:type="dxa"/>
            <w:vAlign w:val="center"/>
          </w:tcPr>
          <w:p>
            <w:pPr>
              <w:widowControl w:val="0"/>
              <w:spacing w:line="240" w:lineRule="auto"/>
              <w:jc w:val="center"/>
              <w:rPr>
                <w:bCs/>
                <w:szCs w:val="21"/>
              </w:rPr>
            </w:pPr>
            <w:r>
              <w:rPr>
                <w:rFonts w:hint="eastAsia"/>
                <w:bCs/>
                <w:szCs w:val="21"/>
              </w:rPr>
              <w:t>分屏器</w:t>
            </w:r>
          </w:p>
        </w:tc>
        <w:tc>
          <w:tcPr>
            <w:tcW w:w="1305" w:type="dxa"/>
            <w:vAlign w:val="center"/>
          </w:tcPr>
          <w:p>
            <w:pPr>
              <w:widowControl w:val="0"/>
              <w:spacing w:line="240" w:lineRule="auto"/>
              <w:jc w:val="center"/>
              <w:rPr>
                <w:bCs/>
                <w:szCs w:val="21"/>
              </w:rPr>
            </w:pPr>
            <w:r>
              <w:rPr>
                <w:rFonts w:hint="eastAsia"/>
                <w:bCs/>
                <w:szCs w:val="21"/>
              </w:rPr>
              <w:t>33</w:t>
            </w:r>
          </w:p>
        </w:tc>
        <w:tc>
          <w:tcPr>
            <w:tcW w:w="1278" w:type="dxa"/>
            <w:vAlign w:val="center"/>
          </w:tcPr>
          <w:p>
            <w:pPr>
              <w:widowControl w:val="0"/>
              <w:spacing w:line="240" w:lineRule="auto"/>
              <w:jc w:val="center"/>
              <w:rPr>
                <w:bCs/>
                <w:szCs w:val="21"/>
              </w:rPr>
            </w:pPr>
            <w:r>
              <w:rPr>
                <w:rFonts w:hint="eastAsia"/>
                <w:bCs/>
                <w:szCs w:val="21"/>
              </w:rPr>
              <w:t>台</w:t>
            </w:r>
          </w:p>
        </w:tc>
        <w:tc>
          <w:tcPr>
            <w:tcW w:w="1805" w:type="dxa"/>
            <w:vAlign w:val="center"/>
          </w:tcPr>
          <w:p>
            <w:pPr>
              <w:widowControl w:val="0"/>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widowControl w:val="0"/>
              <w:spacing w:line="240" w:lineRule="auto"/>
              <w:jc w:val="center"/>
              <w:rPr>
                <w:bCs/>
                <w:szCs w:val="21"/>
              </w:rPr>
            </w:pPr>
            <w:r>
              <w:rPr>
                <w:rFonts w:hint="eastAsia"/>
                <w:bCs/>
                <w:szCs w:val="21"/>
              </w:rPr>
              <w:t>7</w:t>
            </w:r>
          </w:p>
        </w:tc>
        <w:tc>
          <w:tcPr>
            <w:tcW w:w="3176" w:type="dxa"/>
            <w:vAlign w:val="center"/>
          </w:tcPr>
          <w:p>
            <w:pPr>
              <w:widowControl w:val="0"/>
              <w:spacing w:line="240" w:lineRule="auto"/>
              <w:jc w:val="center"/>
              <w:rPr>
                <w:bCs/>
                <w:szCs w:val="21"/>
              </w:rPr>
            </w:pPr>
            <w:r>
              <w:rPr>
                <w:rFonts w:hint="eastAsia"/>
                <w:bCs/>
                <w:szCs w:val="21"/>
              </w:rPr>
              <w:t>指挥显示终端</w:t>
            </w:r>
          </w:p>
        </w:tc>
        <w:tc>
          <w:tcPr>
            <w:tcW w:w="1305" w:type="dxa"/>
            <w:vAlign w:val="center"/>
          </w:tcPr>
          <w:p>
            <w:pPr>
              <w:widowControl w:val="0"/>
              <w:spacing w:line="240" w:lineRule="auto"/>
              <w:jc w:val="center"/>
              <w:rPr>
                <w:bCs/>
                <w:szCs w:val="21"/>
              </w:rPr>
            </w:pPr>
            <w:r>
              <w:rPr>
                <w:rFonts w:hint="eastAsia"/>
                <w:bCs/>
                <w:szCs w:val="21"/>
              </w:rPr>
              <w:t>33</w:t>
            </w:r>
          </w:p>
        </w:tc>
        <w:tc>
          <w:tcPr>
            <w:tcW w:w="1278" w:type="dxa"/>
            <w:vAlign w:val="center"/>
          </w:tcPr>
          <w:p>
            <w:pPr>
              <w:widowControl w:val="0"/>
              <w:spacing w:line="240" w:lineRule="auto"/>
              <w:jc w:val="center"/>
              <w:rPr>
                <w:bCs/>
                <w:szCs w:val="21"/>
              </w:rPr>
            </w:pPr>
            <w:r>
              <w:rPr>
                <w:rFonts w:hint="eastAsia"/>
                <w:bCs/>
                <w:szCs w:val="21"/>
              </w:rPr>
              <w:t>套</w:t>
            </w:r>
          </w:p>
        </w:tc>
        <w:tc>
          <w:tcPr>
            <w:tcW w:w="1805" w:type="dxa"/>
            <w:vAlign w:val="center"/>
          </w:tcPr>
          <w:p>
            <w:pPr>
              <w:widowControl w:val="0"/>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widowControl w:val="0"/>
              <w:spacing w:line="240" w:lineRule="auto"/>
              <w:jc w:val="center"/>
              <w:rPr>
                <w:bCs/>
                <w:szCs w:val="21"/>
              </w:rPr>
            </w:pPr>
            <w:r>
              <w:rPr>
                <w:rFonts w:hint="eastAsia"/>
                <w:bCs/>
                <w:szCs w:val="21"/>
              </w:rPr>
              <w:t>8</w:t>
            </w:r>
          </w:p>
        </w:tc>
        <w:tc>
          <w:tcPr>
            <w:tcW w:w="3176" w:type="dxa"/>
            <w:vAlign w:val="center"/>
          </w:tcPr>
          <w:p>
            <w:pPr>
              <w:widowControl w:val="0"/>
              <w:spacing w:line="240" w:lineRule="auto"/>
              <w:jc w:val="center"/>
              <w:rPr>
                <w:bCs/>
                <w:szCs w:val="21"/>
              </w:rPr>
            </w:pPr>
            <w:r>
              <w:rPr>
                <w:rFonts w:hint="eastAsia"/>
                <w:bCs/>
                <w:szCs w:val="21"/>
              </w:rPr>
              <w:t>SDI高清线</w:t>
            </w:r>
          </w:p>
        </w:tc>
        <w:tc>
          <w:tcPr>
            <w:tcW w:w="1305" w:type="dxa"/>
            <w:vAlign w:val="center"/>
          </w:tcPr>
          <w:p>
            <w:pPr>
              <w:widowControl w:val="0"/>
              <w:spacing w:line="240" w:lineRule="auto"/>
              <w:jc w:val="center"/>
              <w:rPr>
                <w:bCs/>
                <w:szCs w:val="21"/>
              </w:rPr>
            </w:pPr>
            <w:r>
              <w:rPr>
                <w:rFonts w:hint="eastAsia"/>
                <w:bCs/>
                <w:szCs w:val="21"/>
              </w:rPr>
              <w:t>500</w:t>
            </w:r>
          </w:p>
        </w:tc>
        <w:tc>
          <w:tcPr>
            <w:tcW w:w="1278" w:type="dxa"/>
            <w:vAlign w:val="center"/>
          </w:tcPr>
          <w:p>
            <w:pPr>
              <w:widowControl w:val="0"/>
              <w:spacing w:line="240" w:lineRule="auto"/>
              <w:jc w:val="center"/>
              <w:rPr>
                <w:bCs/>
                <w:szCs w:val="21"/>
              </w:rPr>
            </w:pPr>
            <w:r>
              <w:rPr>
                <w:rFonts w:hint="eastAsia"/>
                <w:bCs/>
                <w:szCs w:val="21"/>
              </w:rPr>
              <w:t>米</w:t>
            </w:r>
          </w:p>
        </w:tc>
        <w:tc>
          <w:tcPr>
            <w:tcW w:w="1805" w:type="dxa"/>
            <w:vAlign w:val="center"/>
          </w:tcPr>
          <w:p>
            <w:pPr>
              <w:widowControl w:val="0"/>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widowControl w:val="0"/>
              <w:spacing w:line="240" w:lineRule="auto"/>
              <w:jc w:val="center"/>
              <w:rPr>
                <w:bCs/>
                <w:szCs w:val="21"/>
              </w:rPr>
            </w:pPr>
            <w:r>
              <w:rPr>
                <w:rFonts w:hint="eastAsia"/>
                <w:bCs/>
                <w:szCs w:val="21"/>
              </w:rPr>
              <w:t>9</w:t>
            </w:r>
          </w:p>
        </w:tc>
        <w:tc>
          <w:tcPr>
            <w:tcW w:w="3176" w:type="dxa"/>
            <w:vAlign w:val="center"/>
          </w:tcPr>
          <w:p>
            <w:pPr>
              <w:widowControl w:val="0"/>
              <w:spacing w:line="240" w:lineRule="auto"/>
              <w:jc w:val="center"/>
              <w:rPr>
                <w:bCs/>
                <w:szCs w:val="21"/>
              </w:rPr>
            </w:pPr>
            <w:r>
              <w:rPr>
                <w:rFonts w:hint="eastAsia"/>
                <w:bCs/>
                <w:szCs w:val="21"/>
              </w:rPr>
              <w:t>HDMI高清线</w:t>
            </w:r>
          </w:p>
        </w:tc>
        <w:tc>
          <w:tcPr>
            <w:tcW w:w="1305" w:type="dxa"/>
            <w:vAlign w:val="center"/>
          </w:tcPr>
          <w:p>
            <w:pPr>
              <w:widowControl w:val="0"/>
              <w:spacing w:line="240" w:lineRule="auto"/>
              <w:jc w:val="center"/>
              <w:rPr>
                <w:bCs/>
                <w:szCs w:val="21"/>
              </w:rPr>
            </w:pPr>
            <w:r>
              <w:rPr>
                <w:rFonts w:hint="eastAsia"/>
                <w:bCs/>
                <w:szCs w:val="21"/>
              </w:rPr>
              <w:t>66</w:t>
            </w:r>
          </w:p>
        </w:tc>
        <w:tc>
          <w:tcPr>
            <w:tcW w:w="1278" w:type="dxa"/>
            <w:vAlign w:val="center"/>
          </w:tcPr>
          <w:p>
            <w:pPr>
              <w:widowControl w:val="0"/>
              <w:spacing w:line="240" w:lineRule="auto"/>
              <w:jc w:val="center"/>
              <w:rPr>
                <w:bCs/>
                <w:szCs w:val="21"/>
              </w:rPr>
            </w:pPr>
            <w:r>
              <w:rPr>
                <w:rFonts w:hint="eastAsia"/>
                <w:bCs/>
                <w:szCs w:val="21"/>
              </w:rPr>
              <w:t>条</w:t>
            </w:r>
          </w:p>
        </w:tc>
        <w:tc>
          <w:tcPr>
            <w:tcW w:w="1805" w:type="dxa"/>
            <w:vAlign w:val="center"/>
          </w:tcPr>
          <w:p>
            <w:pPr>
              <w:widowControl w:val="0"/>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widowControl w:val="0"/>
              <w:spacing w:line="240" w:lineRule="auto"/>
              <w:jc w:val="center"/>
              <w:rPr>
                <w:bCs/>
                <w:szCs w:val="21"/>
              </w:rPr>
            </w:pPr>
            <w:r>
              <w:rPr>
                <w:rFonts w:hint="eastAsia"/>
                <w:bCs/>
                <w:szCs w:val="21"/>
              </w:rPr>
              <w:t>10</w:t>
            </w:r>
          </w:p>
        </w:tc>
        <w:tc>
          <w:tcPr>
            <w:tcW w:w="3176" w:type="dxa"/>
            <w:vAlign w:val="center"/>
          </w:tcPr>
          <w:p>
            <w:pPr>
              <w:widowControl w:val="0"/>
              <w:spacing w:line="240" w:lineRule="auto"/>
              <w:jc w:val="center"/>
              <w:rPr>
                <w:bCs/>
                <w:szCs w:val="21"/>
              </w:rPr>
            </w:pPr>
            <w:r>
              <w:rPr>
                <w:rFonts w:hint="eastAsia"/>
                <w:bCs/>
                <w:szCs w:val="21"/>
              </w:rPr>
              <w:t>图形输出设备</w:t>
            </w:r>
          </w:p>
        </w:tc>
        <w:tc>
          <w:tcPr>
            <w:tcW w:w="1305" w:type="dxa"/>
            <w:vAlign w:val="center"/>
          </w:tcPr>
          <w:p>
            <w:pPr>
              <w:widowControl w:val="0"/>
              <w:spacing w:line="240" w:lineRule="auto"/>
              <w:jc w:val="center"/>
              <w:rPr>
                <w:bCs/>
                <w:szCs w:val="21"/>
              </w:rPr>
            </w:pPr>
            <w:r>
              <w:rPr>
                <w:rFonts w:hint="eastAsia"/>
                <w:bCs/>
                <w:szCs w:val="21"/>
              </w:rPr>
              <w:t>18</w:t>
            </w:r>
          </w:p>
        </w:tc>
        <w:tc>
          <w:tcPr>
            <w:tcW w:w="1278" w:type="dxa"/>
            <w:vAlign w:val="center"/>
          </w:tcPr>
          <w:p>
            <w:pPr>
              <w:widowControl w:val="0"/>
              <w:spacing w:line="240" w:lineRule="auto"/>
              <w:jc w:val="center"/>
              <w:rPr>
                <w:bCs/>
                <w:szCs w:val="21"/>
              </w:rPr>
            </w:pPr>
            <w:r>
              <w:rPr>
                <w:rFonts w:hint="eastAsia"/>
                <w:bCs/>
                <w:szCs w:val="21"/>
              </w:rPr>
              <w:t>台</w:t>
            </w:r>
          </w:p>
        </w:tc>
        <w:tc>
          <w:tcPr>
            <w:tcW w:w="1805" w:type="dxa"/>
            <w:vAlign w:val="center"/>
          </w:tcPr>
          <w:p>
            <w:pPr>
              <w:widowControl w:val="0"/>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widowControl w:val="0"/>
              <w:spacing w:line="240" w:lineRule="auto"/>
              <w:jc w:val="center"/>
              <w:rPr>
                <w:bCs/>
                <w:szCs w:val="21"/>
              </w:rPr>
            </w:pPr>
            <w:r>
              <w:rPr>
                <w:rFonts w:hint="eastAsia"/>
                <w:bCs/>
                <w:szCs w:val="21"/>
              </w:rPr>
              <w:t>11</w:t>
            </w:r>
          </w:p>
        </w:tc>
        <w:tc>
          <w:tcPr>
            <w:tcW w:w="3176" w:type="dxa"/>
            <w:vAlign w:val="center"/>
          </w:tcPr>
          <w:p>
            <w:pPr>
              <w:widowControl w:val="0"/>
              <w:spacing w:line="240" w:lineRule="auto"/>
              <w:jc w:val="center"/>
              <w:rPr>
                <w:bCs/>
                <w:szCs w:val="21"/>
              </w:rPr>
            </w:pPr>
            <w:r>
              <w:rPr>
                <w:rFonts w:hint="eastAsia"/>
                <w:bCs/>
                <w:szCs w:val="21"/>
              </w:rPr>
              <w:t>专用投屏器</w:t>
            </w:r>
          </w:p>
        </w:tc>
        <w:tc>
          <w:tcPr>
            <w:tcW w:w="1305" w:type="dxa"/>
            <w:vAlign w:val="center"/>
          </w:tcPr>
          <w:p>
            <w:pPr>
              <w:widowControl w:val="0"/>
              <w:spacing w:line="240" w:lineRule="auto"/>
              <w:jc w:val="center"/>
              <w:rPr>
                <w:bCs/>
                <w:szCs w:val="21"/>
              </w:rPr>
            </w:pPr>
            <w:r>
              <w:rPr>
                <w:rFonts w:hint="eastAsia"/>
                <w:bCs/>
                <w:szCs w:val="21"/>
              </w:rPr>
              <w:t>18</w:t>
            </w:r>
          </w:p>
        </w:tc>
        <w:tc>
          <w:tcPr>
            <w:tcW w:w="1278" w:type="dxa"/>
            <w:vAlign w:val="center"/>
          </w:tcPr>
          <w:p>
            <w:pPr>
              <w:widowControl w:val="0"/>
              <w:spacing w:line="240" w:lineRule="auto"/>
              <w:jc w:val="center"/>
              <w:rPr>
                <w:bCs/>
                <w:szCs w:val="21"/>
              </w:rPr>
            </w:pPr>
            <w:r>
              <w:rPr>
                <w:rFonts w:hint="eastAsia"/>
                <w:bCs/>
                <w:szCs w:val="21"/>
              </w:rPr>
              <w:t>台</w:t>
            </w:r>
          </w:p>
        </w:tc>
        <w:tc>
          <w:tcPr>
            <w:tcW w:w="1805" w:type="dxa"/>
            <w:vAlign w:val="center"/>
          </w:tcPr>
          <w:p>
            <w:pPr>
              <w:widowControl w:val="0"/>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widowControl w:val="0"/>
              <w:spacing w:line="240" w:lineRule="auto"/>
              <w:jc w:val="center"/>
              <w:rPr>
                <w:bCs/>
                <w:szCs w:val="21"/>
              </w:rPr>
            </w:pPr>
            <w:r>
              <w:rPr>
                <w:rFonts w:hint="eastAsia"/>
                <w:bCs/>
                <w:szCs w:val="21"/>
              </w:rPr>
              <w:t>12</w:t>
            </w:r>
          </w:p>
        </w:tc>
        <w:tc>
          <w:tcPr>
            <w:tcW w:w="3176" w:type="dxa"/>
            <w:vAlign w:val="center"/>
          </w:tcPr>
          <w:p>
            <w:pPr>
              <w:widowControl w:val="0"/>
              <w:spacing w:line="240" w:lineRule="auto"/>
              <w:jc w:val="center"/>
              <w:rPr>
                <w:bCs/>
                <w:szCs w:val="21"/>
              </w:rPr>
            </w:pPr>
            <w:r>
              <w:rPr>
                <w:rFonts w:hint="eastAsia"/>
                <w:bCs/>
                <w:szCs w:val="21"/>
              </w:rPr>
              <w:t>专用支架</w:t>
            </w:r>
          </w:p>
        </w:tc>
        <w:tc>
          <w:tcPr>
            <w:tcW w:w="1305" w:type="dxa"/>
            <w:vAlign w:val="center"/>
          </w:tcPr>
          <w:p>
            <w:pPr>
              <w:widowControl w:val="0"/>
              <w:spacing w:line="240" w:lineRule="auto"/>
              <w:jc w:val="center"/>
              <w:rPr>
                <w:bCs/>
                <w:szCs w:val="21"/>
              </w:rPr>
            </w:pPr>
            <w:r>
              <w:rPr>
                <w:rFonts w:hint="eastAsia"/>
                <w:bCs/>
                <w:szCs w:val="21"/>
              </w:rPr>
              <w:t>18</w:t>
            </w:r>
          </w:p>
        </w:tc>
        <w:tc>
          <w:tcPr>
            <w:tcW w:w="1278" w:type="dxa"/>
            <w:vAlign w:val="center"/>
          </w:tcPr>
          <w:p>
            <w:pPr>
              <w:widowControl w:val="0"/>
              <w:spacing w:line="240" w:lineRule="auto"/>
              <w:jc w:val="center"/>
              <w:rPr>
                <w:bCs/>
                <w:szCs w:val="21"/>
              </w:rPr>
            </w:pPr>
            <w:r>
              <w:rPr>
                <w:rFonts w:hint="eastAsia"/>
                <w:bCs/>
                <w:szCs w:val="21"/>
              </w:rPr>
              <w:t>套</w:t>
            </w:r>
          </w:p>
        </w:tc>
        <w:tc>
          <w:tcPr>
            <w:tcW w:w="1805" w:type="dxa"/>
            <w:vAlign w:val="center"/>
          </w:tcPr>
          <w:p>
            <w:pPr>
              <w:widowControl w:val="0"/>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widowControl w:val="0"/>
              <w:spacing w:line="240" w:lineRule="auto"/>
              <w:jc w:val="center"/>
              <w:rPr>
                <w:bCs/>
                <w:szCs w:val="21"/>
              </w:rPr>
            </w:pPr>
            <w:r>
              <w:rPr>
                <w:rFonts w:hint="eastAsia"/>
                <w:bCs/>
                <w:szCs w:val="21"/>
              </w:rPr>
              <w:t>13</w:t>
            </w:r>
          </w:p>
        </w:tc>
        <w:tc>
          <w:tcPr>
            <w:tcW w:w="3176" w:type="dxa"/>
            <w:vAlign w:val="center"/>
          </w:tcPr>
          <w:p>
            <w:pPr>
              <w:widowControl w:val="0"/>
              <w:spacing w:line="240" w:lineRule="auto"/>
              <w:jc w:val="center"/>
              <w:rPr>
                <w:bCs/>
                <w:szCs w:val="21"/>
              </w:rPr>
            </w:pPr>
            <w:r>
              <w:rPr>
                <w:rFonts w:hint="eastAsia"/>
                <w:bCs/>
                <w:szCs w:val="21"/>
              </w:rPr>
              <w:t>时序器</w:t>
            </w:r>
          </w:p>
        </w:tc>
        <w:tc>
          <w:tcPr>
            <w:tcW w:w="1305" w:type="dxa"/>
            <w:vAlign w:val="center"/>
          </w:tcPr>
          <w:p>
            <w:pPr>
              <w:widowControl w:val="0"/>
              <w:spacing w:line="240" w:lineRule="auto"/>
              <w:jc w:val="center"/>
              <w:rPr>
                <w:bCs/>
                <w:szCs w:val="21"/>
              </w:rPr>
            </w:pPr>
            <w:r>
              <w:rPr>
                <w:rFonts w:hint="eastAsia"/>
                <w:bCs/>
                <w:szCs w:val="21"/>
              </w:rPr>
              <w:t>18</w:t>
            </w:r>
          </w:p>
        </w:tc>
        <w:tc>
          <w:tcPr>
            <w:tcW w:w="1278" w:type="dxa"/>
            <w:vAlign w:val="center"/>
          </w:tcPr>
          <w:p>
            <w:pPr>
              <w:widowControl w:val="0"/>
              <w:spacing w:line="240" w:lineRule="auto"/>
              <w:jc w:val="center"/>
              <w:rPr>
                <w:bCs/>
                <w:szCs w:val="21"/>
              </w:rPr>
            </w:pPr>
            <w:r>
              <w:rPr>
                <w:rFonts w:hint="eastAsia"/>
                <w:bCs/>
                <w:szCs w:val="21"/>
              </w:rPr>
              <w:t>台</w:t>
            </w:r>
          </w:p>
        </w:tc>
        <w:tc>
          <w:tcPr>
            <w:tcW w:w="1805" w:type="dxa"/>
            <w:vAlign w:val="center"/>
          </w:tcPr>
          <w:p>
            <w:pPr>
              <w:widowControl w:val="0"/>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widowControl w:val="0"/>
              <w:spacing w:line="240" w:lineRule="auto"/>
              <w:jc w:val="center"/>
              <w:rPr>
                <w:bCs/>
                <w:szCs w:val="21"/>
              </w:rPr>
            </w:pPr>
            <w:r>
              <w:rPr>
                <w:rFonts w:hint="eastAsia"/>
                <w:bCs/>
                <w:szCs w:val="21"/>
              </w:rPr>
              <w:t>14</w:t>
            </w:r>
          </w:p>
        </w:tc>
        <w:tc>
          <w:tcPr>
            <w:tcW w:w="3176" w:type="dxa"/>
            <w:vAlign w:val="center"/>
          </w:tcPr>
          <w:p>
            <w:pPr>
              <w:widowControl w:val="0"/>
              <w:spacing w:line="240" w:lineRule="auto"/>
              <w:jc w:val="center"/>
              <w:rPr>
                <w:bCs/>
                <w:szCs w:val="21"/>
              </w:rPr>
            </w:pPr>
            <w:r>
              <w:rPr>
                <w:rFonts w:hint="eastAsia"/>
                <w:bCs/>
                <w:szCs w:val="21"/>
              </w:rPr>
              <w:t>信号线</w:t>
            </w:r>
          </w:p>
        </w:tc>
        <w:tc>
          <w:tcPr>
            <w:tcW w:w="1305" w:type="dxa"/>
            <w:vAlign w:val="center"/>
          </w:tcPr>
          <w:p>
            <w:pPr>
              <w:widowControl w:val="0"/>
              <w:spacing w:line="240" w:lineRule="auto"/>
              <w:jc w:val="center"/>
              <w:rPr>
                <w:bCs/>
                <w:szCs w:val="21"/>
              </w:rPr>
            </w:pPr>
            <w:r>
              <w:rPr>
                <w:rFonts w:hint="eastAsia"/>
                <w:bCs/>
                <w:szCs w:val="21"/>
              </w:rPr>
              <w:t>1650</w:t>
            </w:r>
          </w:p>
        </w:tc>
        <w:tc>
          <w:tcPr>
            <w:tcW w:w="1278" w:type="dxa"/>
            <w:vAlign w:val="center"/>
          </w:tcPr>
          <w:p>
            <w:pPr>
              <w:widowControl w:val="0"/>
              <w:spacing w:line="240" w:lineRule="auto"/>
              <w:jc w:val="center"/>
              <w:rPr>
                <w:bCs/>
                <w:szCs w:val="21"/>
              </w:rPr>
            </w:pPr>
            <w:r>
              <w:rPr>
                <w:rFonts w:hint="eastAsia"/>
                <w:bCs/>
                <w:szCs w:val="21"/>
              </w:rPr>
              <w:t>米</w:t>
            </w:r>
          </w:p>
        </w:tc>
        <w:tc>
          <w:tcPr>
            <w:tcW w:w="1805" w:type="dxa"/>
            <w:vAlign w:val="center"/>
          </w:tcPr>
          <w:p>
            <w:pPr>
              <w:widowControl w:val="0"/>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widowControl w:val="0"/>
              <w:spacing w:line="240" w:lineRule="auto"/>
              <w:jc w:val="center"/>
              <w:rPr>
                <w:bCs/>
                <w:szCs w:val="21"/>
              </w:rPr>
            </w:pPr>
            <w:r>
              <w:rPr>
                <w:rFonts w:hint="eastAsia"/>
                <w:bCs/>
                <w:szCs w:val="21"/>
              </w:rPr>
              <w:t>15</w:t>
            </w:r>
          </w:p>
        </w:tc>
        <w:tc>
          <w:tcPr>
            <w:tcW w:w="3176" w:type="dxa"/>
            <w:vAlign w:val="center"/>
          </w:tcPr>
          <w:p>
            <w:pPr>
              <w:widowControl w:val="0"/>
              <w:spacing w:line="240" w:lineRule="auto"/>
              <w:jc w:val="center"/>
              <w:rPr>
                <w:bCs/>
                <w:szCs w:val="21"/>
              </w:rPr>
            </w:pPr>
            <w:r>
              <w:rPr>
                <w:rFonts w:hint="eastAsia"/>
                <w:bCs/>
                <w:szCs w:val="21"/>
              </w:rPr>
              <w:t>电源线</w:t>
            </w:r>
          </w:p>
        </w:tc>
        <w:tc>
          <w:tcPr>
            <w:tcW w:w="1305" w:type="dxa"/>
            <w:vAlign w:val="center"/>
          </w:tcPr>
          <w:p>
            <w:pPr>
              <w:widowControl w:val="0"/>
              <w:spacing w:line="240" w:lineRule="auto"/>
              <w:jc w:val="center"/>
              <w:rPr>
                <w:bCs/>
                <w:szCs w:val="21"/>
              </w:rPr>
            </w:pPr>
            <w:r>
              <w:rPr>
                <w:rFonts w:hint="eastAsia"/>
                <w:bCs/>
                <w:szCs w:val="21"/>
              </w:rPr>
              <w:t>1650</w:t>
            </w:r>
          </w:p>
        </w:tc>
        <w:tc>
          <w:tcPr>
            <w:tcW w:w="1278" w:type="dxa"/>
            <w:vAlign w:val="center"/>
          </w:tcPr>
          <w:p>
            <w:pPr>
              <w:widowControl w:val="0"/>
              <w:spacing w:line="240" w:lineRule="auto"/>
              <w:jc w:val="center"/>
              <w:rPr>
                <w:bCs/>
                <w:szCs w:val="21"/>
              </w:rPr>
            </w:pPr>
            <w:r>
              <w:rPr>
                <w:rFonts w:hint="eastAsia"/>
                <w:bCs/>
                <w:szCs w:val="21"/>
              </w:rPr>
              <w:t>米</w:t>
            </w:r>
          </w:p>
        </w:tc>
        <w:tc>
          <w:tcPr>
            <w:tcW w:w="1805" w:type="dxa"/>
            <w:vAlign w:val="center"/>
          </w:tcPr>
          <w:p>
            <w:pPr>
              <w:widowControl w:val="0"/>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widowControl w:val="0"/>
              <w:spacing w:line="240" w:lineRule="auto"/>
              <w:jc w:val="center"/>
              <w:rPr>
                <w:bCs/>
                <w:szCs w:val="21"/>
              </w:rPr>
            </w:pPr>
            <w:r>
              <w:rPr>
                <w:rFonts w:hint="eastAsia"/>
                <w:bCs/>
                <w:szCs w:val="21"/>
              </w:rPr>
              <w:t>16</w:t>
            </w:r>
          </w:p>
        </w:tc>
        <w:tc>
          <w:tcPr>
            <w:tcW w:w="3176" w:type="dxa"/>
            <w:vAlign w:val="center"/>
          </w:tcPr>
          <w:p>
            <w:pPr>
              <w:widowControl w:val="0"/>
              <w:spacing w:line="240" w:lineRule="auto"/>
              <w:jc w:val="center"/>
              <w:rPr>
                <w:bCs/>
                <w:szCs w:val="21"/>
              </w:rPr>
            </w:pPr>
            <w:r>
              <w:rPr>
                <w:rFonts w:hint="eastAsia"/>
                <w:bCs/>
                <w:szCs w:val="21"/>
              </w:rPr>
              <w:t>4芯光纤线</w:t>
            </w:r>
          </w:p>
        </w:tc>
        <w:tc>
          <w:tcPr>
            <w:tcW w:w="1305" w:type="dxa"/>
            <w:vAlign w:val="center"/>
          </w:tcPr>
          <w:p>
            <w:pPr>
              <w:widowControl w:val="0"/>
              <w:spacing w:line="240" w:lineRule="auto"/>
              <w:jc w:val="center"/>
              <w:rPr>
                <w:bCs/>
                <w:szCs w:val="21"/>
              </w:rPr>
            </w:pPr>
            <w:r>
              <w:rPr>
                <w:rFonts w:hint="eastAsia"/>
                <w:bCs/>
                <w:szCs w:val="21"/>
              </w:rPr>
              <w:t>1000</w:t>
            </w:r>
          </w:p>
        </w:tc>
        <w:tc>
          <w:tcPr>
            <w:tcW w:w="1278" w:type="dxa"/>
            <w:vAlign w:val="center"/>
          </w:tcPr>
          <w:p>
            <w:pPr>
              <w:widowControl w:val="0"/>
              <w:spacing w:line="240" w:lineRule="auto"/>
              <w:jc w:val="center"/>
              <w:rPr>
                <w:bCs/>
                <w:szCs w:val="21"/>
              </w:rPr>
            </w:pPr>
            <w:r>
              <w:rPr>
                <w:rFonts w:hint="eastAsia"/>
                <w:bCs/>
                <w:szCs w:val="21"/>
              </w:rPr>
              <w:t>米</w:t>
            </w:r>
          </w:p>
        </w:tc>
        <w:tc>
          <w:tcPr>
            <w:tcW w:w="1805" w:type="dxa"/>
            <w:vAlign w:val="center"/>
          </w:tcPr>
          <w:p>
            <w:pPr>
              <w:widowControl w:val="0"/>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widowControl w:val="0"/>
              <w:spacing w:line="240" w:lineRule="auto"/>
              <w:jc w:val="center"/>
              <w:rPr>
                <w:bCs/>
                <w:szCs w:val="21"/>
              </w:rPr>
            </w:pPr>
            <w:r>
              <w:rPr>
                <w:rFonts w:hint="eastAsia"/>
                <w:bCs/>
                <w:szCs w:val="21"/>
              </w:rPr>
              <w:t>17</w:t>
            </w:r>
          </w:p>
        </w:tc>
        <w:tc>
          <w:tcPr>
            <w:tcW w:w="3176" w:type="dxa"/>
            <w:vAlign w:val="center"/>
          </w:tcPr>
          <w:p>
            <w:pPr>
              <w:widowControl w:val="0"/>
              <w:spacing w:line="240" w:lineRule="auto"/>
              <w:jc w:val="center"/>
              <w:rPr>
                <w:bCs/>
                <w:szCs w:val="21"/>
              </w:rPr>
            </w:pPr>
            <w:r>
              <w:rPr>
                <w:rFonts w:hint="eastAsia"/>
                <w:bCs/>
                <w:szCs w:val="21"/>
              </w:rPr>
              <w:t>光纤终端盒</w:t>
            </w:r>
          </w:p>
        </w:tc>
        <w:tc>
          <w:tcPr>
            <w:tcW w:w="1305" w:type="dxa"/>
            <w:vAlign w:val="center"/>
          </w:tcPr>
          <w:p>
            <w:pPr>
              <w:widowControl w:val="0"/>
              <w:spacing w:line="240" w:lineRule="auto"/>
              <w:jc w:val="center"/>
              <w:rPr>
                <w:bCs/>
                <w:szCs w:val="21"/>
              </w:rPr>
            </w:pPr>
            <w:r>
              <w:rPr>
                <w:rFonts w:hint="eastAsia"/>
                <w:bCs/>
                <w:szCs w:val="21"/>
              </w:rPr>
              <w:t>10</w:t>
            </w:r>
          </w:p>
        </w:tc>
        <w:tc>
          <w:tcPr>
            <w:tcW w:w="1278" w:type="dxa"/>
            <w:vAlign w:val="center"/>
          </w:tcPr>
          <w:p>
            <w:pPr>
              <w:widowControl w:val="0"/>
              <w:spacing w:line="240" w:lineRule="auto"/>
              <w:jc w:val="center"/>
              <w:rPr>
                <w:bCs/>
                <w:szCs w:val="21"/>
              </w:rPr>
            </w:pPr>
            <w:r>
              <w:rPr>
                <w:rFonts w:hint="eastAsia"/>
                <w:bCs/>
                <w:szCs w:val="21"/>
              </w:rPr>
              <w:t>个</w:t>
            </w:r>
          </w:p>
        </w:tc>
        <w:tc>
          <w:tcPr>
            <w:tcW w:w="1805" w:type="dxa"/>
            <w:vAlign w:val="center"/>
          </w:tcPr>
          <w:p>
            <w:pPr>
              <w:widowControl w:val="0"/>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widowControl w:val="0"/>
              <w:spacing w:line="240" w:lineRule="auto"/>
              <w:jc w:val="center"/>
              <w:rPr>
                <w:bCs/>
                <w:szCs w:val="21"/>
              </w:rPr>
            </w:pPr>
            <w:r>
              <w:rPr>
                <w:rFonts w:hint="eastAsia"/>
                <w:bCs/>
                <w:szCs w:val="21"/>
              </w:rPr>
              <w:t>18</w:t>
            </w:r>
          </w:p>
        </w:tc>
        <w:tc>
          <w:tcPr>
            <w:tcW w:w="3176" w:type="dxa"/>
            <w:vAlign w:val="center"/>
          </w:tcPr>
          <w:p>
            <w:pPr>
              <w:widowControl w:val="0"/>
              <w:spacing w:line="240" w:lineRule="auto"/>
              <w:jc w:val="center"/>
              <w:rPr>
                <w:bCs/>
                <w:szCs w:val="21"/>
              </w:rPr>
            </w:pPr>
            <w:r>
              <w:rPr>
                <w:rFonts w:hint="eastAsia"/>
                <w:bCs/>
                <w:szCs w:val="21"/>
              </w:rPr>
              <w:t>光纤跳线</w:t>
            </w:r>
          </w:p>
        </w:tc>
        <w:tc>
          <w:tcPr>
            <w:tcW w:w="1305" w:type="dxa"/>
            <w:vAlign w:val="center"/>
          </w:tcPr>
          <w:p>
            <w:pPr>
              <w:widowControl w:val="0"/>
              <w:spacing w:line="240" w:lineRule="auto"/>
              <w:jc w:val="center"/>
              <w:rPr>
                <w:bCs/>
                <w:szCs w:val="21"/>
              </w:rPr>
            </w:pPr>
            <w:r>
              <w:rPr>
                <w:rFonts w:hint="eastAsia"/>
                <w:bCs/>
                <w:szCs w:val="21"/>
              </w:rPr>
              <w:t>40</w:t>
            </w:r>
          </w:p>
        </w:tc>
        <w:tc>
          <w:tcPr>
            <w:tcW w:w="1278" w:type="dxa"/>
            <w:vAlign w:val="center"/>
          </w:tcPr>
          <w:p>
            <w:pPr>
              <w:widowControl w:val="0"/>
              <w:spacing w:line="240" w:lineRule="auto"/>
              <w:jc w:val="center"/>
              <w:rPr>
                <w:bCs/>
                <w:szCs w:val="21"/>
              </w:rPr>
            </w:pPr>
            <w:r>
              <w:rPr>
                <w:rFonts w:hint="eastAsia"/>
                <w:bCs/>
                <w:szCs w:val="21"/>
              </w:rPr>
              <w:t>根</w:t>
            </w:r>
          </w:p>
        </w:tc>
        <w:tc>
          <w:tcPr>
            <w:tcW w:w="1805" w:type="dxa"/>
            <w:vAlign w:val="center"/>
          </w:tcPr>
          <w:p>
            <w:pPr>
              <w:widowControl w:val="0"/>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widowControl w:val="0"/>
              <w:spacing w:line="240" w:lineRule="auto"/>
              <w:jc w:val="center"/>
              <w:rPr>
                <w:bCs/>
                <w:szCs w:val="21"/>
              </w:rPr>
            </w:pPr>
            <w:r>
              <w:rPr>
                <w:rFonts w:hint="eastAsia"/>
                <w:bCs/>
                <w:szCs w:val="21"/>
              </w:rPr>
              <w:t>19</w:t>
            </w:r>
          </w:p>
        </w:tc>
        <w:tc>
          <w:tcPr>
            <w:tcW w:w="3176" w:type="dxa"/>
            <w:vAlign w:val="center"/>
          </w:tcPr>
          <w:p>
            <w:pPr>
              <w:widowControl w:val="0"/>
              <w:spacing w:line="240" w:lineRule="auto"/>
              <w:jc w:val="center"/>
              <w:rPr>
                <w:bCs/>
                <w:szCs w:val="21"/>
              </w:rPr>
            </w:pPr>
            <w:r>
              <w:rPr>
                <w:rFonts w:hint="eastAsia"/>
                <w:bCs/>
                <w:szCs w:val="21"/>
              </w:rPr>
              <w:t>千兆单模单纤光纤收发器</w:t>
            </w:r>
          </w:p>
        </w:tc>
        <w:tc>
          <w:tcPr>
            <w:tcW w:w="1305" w:type="dxa"/>
            <w:vAlign w:val="center"/>
          </w:tcPr>
          <w:p>
            <w:pPr>
              <w:widowControl w:val="0"/>
              <w:spacing w:line="240" w:lineRule="auto"/>
              <w:jc w:val="center"/>
              <w:rPr>
                <w:bCs/>
                <w:szCs w:val="21"/>
              </w:rPr>
            </w:pPr>
            <w:r>
              <w:rPr>
                <w:rFonts w:hint="eastAsia"/>
                <w:bCs/>
                <w:szCs w:val="21"/>
              </w:rPr>
              <w:t>5</w:t>
            </w:r>
          </w:p>
        </w:tc>
        <w:tc>
          <w:tcPr>
            <w:tcW w:w="1278" w:type="dxa"/>
            <w:vAlign w:val="center"/>
          </w:tcPr>
          <w:p>
            <w:pPr>
              <w:widowControl w:val="0"/>
              <w:spacing w:line="240" w:lineRule="auto"/>
              <w:jc w:val="center"/>
              <w:rPr>
                <w:bCs/>
                <w:szCs w:val="21"/>
              </w:rPr>
            </w:pPr>
            <w:r>
              <w:rPr>
                <w:rFonts w:hint="eastAsia"/>
                <w:bCs/>
                <w:szCs w:val="21"/>
              </w:rPr>
              <w:t>套</w:t>
            </w:r>
          </w:p>
        </w:tc>
        <w:tc>
          <w:tcPr>
            <w:tcW w:w="1805" w:type="dxa"/>
            <w:vAlign w:val="center"/>
          </w:tcPr>
          <w:p>
            <w:pPr>
              <w:widowControl w:val="0"/>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widowControl w:val="0"/>
              <w:spacing w:line="240" w:lineRule="auto"/>
              <w:jc w:val="center"/>
              <w:rPr>
                <w:bCs/>
                <w:szCs w:val="21"/>
              </w:rPr>
            </w:pPr>
            <w:r>
              <w:rPr>
                <w:rFonts w:hint="eastAsia"/>
                <w:bCs/>
                <w:szCs w:val="21"/>
              </w:rPr>
              <w:t>20</w:t>
            </w:r>
          </w:p>
        </w:tc>
        <w:tc>
          <w:tcPr>
            <w:tcW w:w="3176" w:type="dxa"/>
            <w:vAlign w:val="center"/>
          </w:tcPr>
          <w:p>
            <w:pPr>
              <w:widowControl w:val="0"/>
              <w:spacing w:line="240" w:lineRule="auto"/>
              <w:jc w:val="center"/>
              <w:rPr>
                <w:bCs/>
                <w:szCs w:val="21"/>
              </w:rPr>
            </w:pPr>
            <w:r>
              <w:rPr>
                <w:rFonts w:hint="eastAsia"/>
                <w:bCs/>
                <w:szCs w:val="21"/>
              </w:rPr>
              <w:t>灯具</w:t>
            </w:r>
          </w:p>
        </w:tc>
        <w:tc>
          <w:tcPr>
            <w:tcW w:w="1305" w:type="dxa"/>
            <w:vAlign w:val="center"/>
          </w:tcPr>
          <w:p>
            <w:pPr>
              <w:widowControl w:val="0"/>
              <w:spacing w:line="240" w:lineRule="auto"/>
              <w:jc w:val="center"/>
              <w:rPr>
                <w:bCs/>
                <w:szCs w:val="21"/>
              </w:rPr>
            </w:pPr>
            <w:r>
              <w:rPr>
                <w:rFonts w:hint="eastAsia"/>
                <w:bCs/>
                <w:szCs w:val="21"/>
              </w:rPr>
              <w:t>264</w:t>
            </w:r>
          </w:p>
        </w:tc>
        <w:tc>
          <w:tcPr>
            <w:tcW w:w="1278" w:type="dxa"/>
            <w:vAlign w:val="center"/>
          </w:tcPr>
          <w:p>
            <w:pPr>
              <w:widowControl w:val="0"/>
              <w:spacing w:line="240" w:lineRule="auto"/>
              <w:jc w:val="center"/>
              <w:rPr>
                <w:bCs/>
                <w:szCs w:val="21"/>
              </w:rPr>
            </w:pPr>
            <w:r>
              <w:rPr>
                <w:rFonts w:hint="eastAsia"/>
                <w:bCs/>
                <w:szCs w:val="21"/>
              </w:rPr>
              <w:t>套</w:t>
            </w:r>
          </w:p>
        </w:tc>
        <w:tc>
          <w:tcPr>
            <w:tcW w:w="1805" w:type="dxa"/>
            <w:vAlign w:val="center"/>
          </w:tcPr>
          <w:p>
            <w:pPr>
              <w:widowControl w:val="0"/>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widowControl w:val="0"/>
              <w:spacing w:line="240" w:lineRule="auto"/>
              <w:jc w:val="center"/>
              <w:rPr>
                <w:bCs/>
                <w:szCs w:val="21"/>
              </w:rPr>
            </w:pPr>
            <w:r>
              <w:rPr>
                <w:rFonts w:hint="eastAsia"/>
                <w:bCs/>
                <w:szCs w:val="21"/>
              </w:rPr>
              <w:t>21</w:t>
            </w:r>
          </w:p>
        </w:tc>
        <w:tc>
          <w:tcPr>
            <w:tcW w:w="3176" w:type="dxa"/>
            <w:vAlign w:val="center"/>
          </w:tcPr>
          <w:p>
            <w:pPr>
              <w:widowControl w:val="0"/>
              <w:spacing w:line="240" w:lineRule="auto"/>
              <w:jc w:val="center"/>
              <w:rPr>
                <w:bCs/>
                <w:szCs w:val="21"/>
              </w:rPr>
            </w:pPr>
            <w:r>
              <w:rPr>
                <w:rFonts w:hint="eastAsia"/>
                <w:bCs/>
                <w:szCs w:val="21"/>
              </w:rPr>
              <w:t>机柜PDU</w:t>
            </w:r>
          </w:p>
        </w:tc>
        <w:tc>
          <w:tcPr>
            <w:tcW w:w="1305" w:type="dxa"/>
            <w:vAlign w:val="center"/>
          </w:tcPr>
          <w:p>
            <w:pPr>
              <w:widowControl w:val="0"/>
              <w:spacing w:line="240" w:lineRule="auto"/>
              <w:jc w:val="center"/>
              <w:rPr>
                <w:bCs/>
                <w:szCs w:val="21"/>
              </w:rPr>
            </w:pPr>
            <w:r>
              <w:rPr>
                <w:rFonts w:hint="eastAsia"/>
                <w:bCs/>
                <w:szCs w:val="21"/>
              </w:rPr>
              <w:t>18</w:t>
            </w:r>
          </w:p>
        </w:tc>
        <w:tc>
          <w:tcPr>
            <w:tcW w:w="1278" w:type="dxa"/>
            <w:vAlign w:val="center"/>
          </w:tcPr>
          <w:p>
            <w:pPr>
              <w:widowControl w:val="0"/>
              <w:spacing w:line="240" w:lineRule="auto"/>
              <w:jc w:val="center"/>
              <w:rPr>
                <w:bCs/>
                <w:szCs w:val="21"/>
              </w:rPr>
            </w:pPr>
            <w:r>
              <w:rPr>
                <w:rFonts w:hint="eastAsia"/>
                <w:bCs/>
                <w:szCs w:val="21"/>
              </w:rPr>
              <w:t>个</w:t>
            </w:r>
          </w:p>
        </w:tc>
        <w:tc>
          <w:tcPr>
            <w:tcW w:w="1805" w:type="dxa"/>
            <w:vAlign w:val="center"/>
          </w:tcPr>
          <w:p>
            <w:pPr>
              <w:widowControl w:val="0"/>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widowControl w:val="0"/>
              <w:spacing w:line="240" w:lineRule="auto"/>
              <w:jc w:val="center"/>
              <w:rPr>
                <w:bCs/>
                <w:szCs w:val="21"/>
              </w:rPr>
            </w:pPr>
            <w:r>
              <w:rPr>
                <w:rFonts w:hint="eastAsia"/>
                <w:bCs/>
                <w:szCs w:val="21"/>
              </w:rPr>
              <w:t>22</w:t>
            </w:r>
          </w:p>
        </w:tc>
        <w:tc>
          <w:tcPr>
            <w:tcW w:w="3176" w:type="dxa"/>
            <w:vAlign w:val="center"/>
          </w:tcPr>
          <w:p>
            <w:pPr>
              <w:widowControl w:val="0"/>
              <w:spacing w:line="240" w:lineRule="auto"/>
              <w:jc w:val="center"/>
              <w:rPr>
                <w:bCs/>
                <w:szCs w:val="21"/>
              </w:rPr>
            </w:pPr>
            <w:r>
              <w:rPr>
                <w:rFonts w:hint="eastAsia"/>
                <w:bCs/>
                <w:szCs w:val="21"/>
              </w:rPr>
              <w:t>机柜</w:t>
            </w:r>
          </w:p>
        </w:tc>
        <w:tc>
          <w:tcPr>
            <w:tcW w:w="1305" w:type="dxa"/>
            <w:vAlign w:val="center"/>
          </w:tcPr>
          <w:p>
            <w:pPr>
              <w:widowControl w:val="0"/>
              <w:spacing w:line="240" w:lineRule="auto"/>
              <w:jc w:val="center"/>
              <w:rPr>
                <w:bCs/>
                <w:szCs w:val="21"/>
              </w:rPr>
            </w:pPr>
            <w:r>
              <w:rPr>
                <w:rFonts w:hint="eastAsia"/>
                <w:bCs/>
                <w:szCs w:val="21"/>
              </w:rPr>
              <w:t>18</w:t>
            </w:r>
          </w:p>
        </w:tc>
        <w:tc>
          <w:tcPr>
            <w:tcW w:w="1278" w:type="dxa"/>
            <w:vAlign w:val="center"/>
          </w:tcPr>
          <w:p>
            <w:pPr>
              <w:widowControl w:val="0"/>
              <w:spacing w:line="240" w:lineRule="auto"/>
              <w:jc w:val="center"/>
              <w:rPr>
                <w:bCs/>
                <w:szCs w:val="21"/>
              </w:rPr>
            </w:pPr>
            <w:r>
              <w:rPr>
                <w:rFonts w:hint="eastAsia"/>
                <w:bCs/>
                <w:szCs w:val="21"/>
              </w:rPr>
              <w:t>台</w:t>
            </w:r>
          </w:p>
        </w:tc>
        <w:tc>
          <w:tcPr>
            <w:tcW w:w="1805" w:type="dxa"/>
            <w:vAlign w:val="center"/>
          </w:tcPr>
          <w:p>
            <w:pPr>
              <w:widowControl w:val="0"/>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Align w:val="center"/>
          </w:tcPr>
          <w:p>
            <w:pPr>
              <w:widowControl w:val="0"/>
              <w:spacing w:line="240" w:lineRule="auto"/>
              <w:jc w:val="center"/>
              <w:rPr>
                <w:bCs/>
                <w:szCs w:val="21"/>
              </w:rPr>
            </w:pPr>
            <w:r>
              <w:rPr>
                <w:rFonts w:hint="eastAsia"/>
                <w:bCs/>
                <w:szCs w:val="21"/>
              </w:rPr>
              <w:t>23</w:t>
            </w:r>
          </w:p>
        </w:tc>
        <w:tc>
          <w:tcPr>
            <w:tcW w:w="3176" w:type="dxa"/>
            <w:vAlign w:val="center"/>
          </w:tcPr>
          <w:p>
            <w:pPr>
              <w:widowControl w:val="0"/>
              <w:spacing w:line="240" w:lineRule="auto"/>
              <w:jc w:val="center"/>
              <w:rPr>
                <w:bCs/>
                <w:szCs w:val="21"/>
              </w:rPr>
            </w:pPr>
            <w:r>
              <w:rPr>
                <w:rFonts w:hint="eastAsia"/>
                <w:bCs/>
                <w:szCs w:val="21"/>
              </w:rPr>
              <w:t>辅材管道</w:t>
            </w:r>
          </w:p>
        </w:tc>
        <w:tc>
          <w:tcPr>
            <w:tcW w:w="1305" w:type="dxa"/>
            <w:vAlign w:val="center"/>
          </w:tcPr>
          <w:p>
            <w:pPr>
              <w:widowControl w:val="0"/>
              <w:spacing w:line="240" w:lineRule="auto"/>
              <w:jc w:val="center"/>
              <w:rPr>
                <w:bCs/>
                <w:szCs w:val="21"/>
              </w:rPr>
            </w:pPr>
            <w:r>
              <w:rPr>
                <w:rFonts w:hint="eastAsia"/>
                <w:bCs/>
                <w:szCs w:val="21"/>
              </w:rPr>
              <w:t>33</w:t>
            </w:r>
          </w:p>
        </w:tc>
        <w:tc>
          <w:tcPr>
            <w:tcW w:w="1278" w:type="dxa"/>
            <w:vAlign w:val="center"/>
          </w:tcPr>
          <w:p>
            <w:pPr>
              <w:widowControl w:val="0"/>
              <w:spacing w:line="240" w:lineRule="auto"/>
              <w:jc w:val="center"/>
              <w:rPr>
                <w:bCs/>
                <w:szCs w:val="21"/>
              </w:rPr>
            </w:pPr>
            <w:r>
              <w:rPr>
                <w:rFonts w:hint="eastAsia"/>
                <w:bCs/>
                <w:szCs w:val="21"/>
              </w:rPr>
              <w:t>套</w:t>
            </w:r>
          </w:p>
        </w:tc>
        <w:tc>
          <w:tcPr>
            <w:tcW w:w="1805" w:type="dxa"/>
            <w:vAlign w:val="center"/>
          </w:tcPr>
          <w:p>
            <w:pPr>
              <w:widowControl w:val="0"/>
              <w:spacing w:line="240" w:lineRule="auto"/>
              <w:jc w:val="center"/>
              <w:rPr>
                <w:bCs/>
                <w:szCs w:val="21"/>
              </w:rPr>
            </w:pPr>
            <w:r>
              <w:rPr>
                <w:rFonts w:hint="eastAsia"/>
                <w:bCs/>
                <w:szCs w:val="21"/>
              </w:rPr>
              <w:t>拒绝进口</w:t>
            </w:r>
          </w:p>
        </w:tc>
      </w:tr>
    </w:tbl>
    <w:p>
      <w:pPr>
        <w:spacing w:line="276" w:lineRule="auto"/>
        <w:ind w:firstLine="420" w:firstLineChars="200"/>
        <w:rPr>
          <w:szCs w:val="21"/>
        </w:rPr>
      </w:pPr>
      <w:r>
        <w:rPr>
          <w:rFonts w:hint="eastAsia"/>
          <w:szCs w:val="21"/>
        </w:rPr>
        <w:t>备注：</w:t>
      </w:r>
    </w:p>
    <w:p>
      <w:pPr>
        <w:spacing w:line="276" w:lineRule="auto"/>
        <w:ind w:firstLine="420" w:firstLineChars="200"/>
        <w:rPr>
          <w:szCs w:val="21"/>
        </w:rPr>
      </w:pPr>
      <w:r>
        <w:rPr>
          <w:szCs w:val="21"/>
        </w:rPr>
        <w:t>1.注明“接受进口”的产品（产品名称）允许供应商选用进口产品参与投标，但不排斥国内产品。</w:t>
      </w:r>
    </w:p>
    <w:p>
      <w:pPr>
        <w:spacing w:line="276" w:lineRule="auto"/>
        <w:ind w:firstLine="420" w:firstLineChars="200"/>
        <w:rPr>
          <w:szCs w:val="21"/>
        </w:rPr>
      </w:pPr>
      <w:r>
        <w:rPr>
          <w:szCs w:val="21"/>
        </w:rPr>
        <w:t>2.</w:t>
      </w:r>
      <w:r>
        <w:rPr>
          <w:rFonts w:hint="eastAsia"/>
          <w:szCs w:val="21"/>
        </w:rPr>
        <w:t>注明“拒绝进口”的产品（产品名称）均不接受供应商选用进口产品参与投标。</w:t>
      </w:r>
    </w:p>
    <w:p>
      <w:pPr>
        <w:spacing w:line="276" w:lineRule="auto"/>
        <w:ind w:firstLine="420" w:firstLineChars="200"/>
        <w:rPr>
          <w:szCs w:val="21"/>
        </w:rPr>
      </w:pPr>
      <w:r>
        <w:rPr>
          <w:szCs w:val="21"/>
        </w:rPr>
        <w:t>3.</w:t>
      </w:r>
      <w:r>
        <w:rPr>
          <w:rFonts w:hint="eastAsia"/>
          <w:szCs w:val="21"/>
        </w:rPr>
        <w:t>进口产品系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w:t>
      </w:r>
      <w:r>
        <w:rPr>
          <w:szCs w:val="21"/>
        </w:rPr>
        <w:t>2007〕119号文和财办库〔2008〕248号文的相关规定为准。</w:t>
      </w:r>
    </w:p>
    <w:p>
      <w:pPr>
        <w:spacing w:line="276" w:lineRule="auto"/>
        <w:ind w:firstLine="420" w:firstLineChars="200"/>
        <w:rPr>
          <w:bCs/>
          <w:szCs w:val="21"/>
        </w:rPr>
      </w:pPr>
      <w:r>
        <w:rPr>
          <w:bCs/>
          <w:szCs w:val="21"/>
        </w:rPr>
        <w:t>4.</w:t>
      </w:r>
      <w:r>
        <w:rPr>
          <w:rFonts w:hint="eastAsia"/>
          <w:bCs/>
          <w:szCs w:val="21"/>
        </w:rPr>
        <w:t>当多家投标人提供的核心产品品牌相同的，按一家投标人计算。根据《政府采购货物和服务招标投标管理办法》（中华人民共和国财政部令第</w:t>
      </w:r>
      <w:r>
        <w:rPr>
          <w:bCs/>
          <w:szCs w:val="21"/>
        </w:rPr>
        <w:t>87号）第三十一条相关规定：非单一产品采购项目，采购人应当根据采购项目技术构成、产品价格比重等合理确定核心产品，提供核心产品为相同品牌且通过资格审查、符合性审查的不同投标人，按一家投标人计算，评审后得分最高的同品牌投标人获得中标人推荐资格；评审得分相同的，采取随机抽取方式确定中标人推荐资格。其他综合评分总分次之的不同品牌投标人顺推获得中标人推荐资</w:t>
      </w:r>
      <w:r>
        <w:rPr>
          <w:rFonts w:hint="eastAsia"/>
          <w:bCs/>
          <w:szCs w:val="21"/>
        </w:rPr>
        <w:t>格。</w:t>
      </w:r>
    </w:p>
    <w:p>
      <w:pPr>
        <w:spacing w:line="276" w:lineRule="auto"/>
        <w:ind w:firstLine="420" w:firstLineChars="200"/>
        <w:rPr>
          <w:szCs w:val="21"/>
        </w:rPr>
      </w:pPr>
      <w:r>
        <w:rPr>
          <w:szCs w:val="21"/>
        </w:rPr>
        <w:t>5.</w:t>
      </w:r>
      <w:r>
        <w:rPr>
          <w:rFonts w:hint="eastAsia"/>
          <w:szCs w:val="21"/>
        </w:rPr>
        <w:t>《货物清单一览表》不允许出现负偏离，否则将导致投标无效，以投标文件格式中的《货物说明一览表》为准。</w:t>
      </w:r>
    </w:p>
    <w:p>
      <w:pPr>
        <w:spacing w:line="276" w:lineRule="auto"/>
        <w:ind w:firstLine="422" w:firstLineChars="200"/>
      </w:pPr>
      <w:r>
        <w:rPr>
          <w:rFonts w:hint="eastAsia"/>
          <w:b/>
          <w:bCs/>
          <w:szCs w:val="21"/>
        </w:rPr>
        <w:t>6</w:t>
      </w:r>
      <w:r>
        <w:rPr>
          <w:b/>
          <w:bCs/>
          <w:szCs w:val="21"/>
        </w:rPr>
        <w:t>.</w:t>
      </w:r>
      <w:r>
        <w:rPr>
          <w:rFonts w:hint="eastAsia"/>
          <w:b/>
          <w:bCs/>
          <w:szCs w:val="21"/>
        </w:rPr>
        <w:t xml:space="preserve"> 本项目核心产品为：</w:t>
      </w:r>
      <w:r>
        <w:rPr>
          <w:rFonts w:hint="eastAsia"/>
          <w:b/>
          <w:bCs/>
          <w:szCs w:val="21"/>
          <w:u w:val="single"/>
        </w:rPr>
        <w:t>指挥研判终端。</w:t>
      </w:r>
    </w:p>
    <w:p>
      <w:pPr>
        <w:numPr>
          <w:ilvl w:val="0"/>
          <w:numId w:val="3"/>
        </w:numPr>
        <w:adjustRightInd/>
        <w:snapToGrid/>
        <w:spacing w:before="280" w:after="290" w:line="377" w:lineRule="auto"/>
        <w:jc w:val="left"/>
        <w:outlineLvl w:val="2"/>
        <w:rPr>
          <w:b/>
          <w:sz w:val="24"/>
        </w:rPr>
      </w:pPr>
      <w:bookmarkStart w:id="82" w:name="_Toc13798"/>
      <w:r>
        <w:rPr>
          <w:rFonts w:hint="eastAsia"/>
          <w:b/>
          <w:sz w:val="24"/>
        </w:rPr>
        <w:t>实质性响应条款</w:t>
      </w:r>
      <w:bookmarkEnd w:id="82"/>
    </w:p>
    <w:tbl>
      <w:tblPr>
        <w:tblStyle w:val="85"/>
        <w:tblW w:w="4337"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6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1" w:type="pct"/>
            <w:vAlign w:val="center"/>
          </w:tcPr>
          <w:p>
            <w:pPr>
              <w:spacing w:line="240" w:lineRule="auto"/>
              <w:jc w:val="center"/>
              <w:rPr>
                <w:b/>
                <w:szCs w:val="21"/>
              </w:rPr>
            </w:pPr>
            <w:r>
              <w:rPr>
                <w:rFonts w:hint="eastAsia"/>
                <w:b/>
                <w:szCs w:val="21"/>
              </w:rPr>
              <w:t>目录</w:t>
            </w:r>
          </w:p>
        </w:tc>
        <w:tc>
          <w:tcPr>
            <w:tcW w:w="4099" w:type="pct"/>
            <w:vAlign w:val="center"/>
          </w:tcPr>
          <w:p>
            <w:pPr>
              <w:spacing w:line="240" w:lineRule="auto"/>
              <w:jc w:val="center"/>
              <w:rPr>
                <w:b/>
                <w:szCs w:val="21"/>
              </w:rPr>
            </w:pPr>
            <w:r>
              <w:rPr>
                <w:rFonts w:hint="eastAsia"/>
                <w:b/>
                <w:szCs w:val="21"/>
              </w:rPr>
              <w:t>实质性响应条款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1" w:type="pct"/>
            <w:vAlign w:val="center"/>
          </w:tcPr>
          <w:p>
            <w:pPr>
              <w:tabs>
                <w:tab w:val="clear" w:pos="426"/>
              </w:tabs>
              <w:spacing w:line="240" w:lineRule="auto"/>
              <w:jc w:val="left"/>
              <w:rPr>
                <w:szCs w:val="21"/>
              </w:rPr>
            </w:pPr>
            <w:r>
              <w:rPr>
                <w:rFonts w:hint="eastAsia"/>
                <w:szCs w:val="21"/>
              </w:rPr>
              <w:t>交货期</w:t>
            </w:r>
          </w:p>
        </w:tc>
        <w:tc>
          <w:tcPr>
            <w:tcW w:w="4099" w:type="pct"/>
            <w:vAlign w:val="center"/>
          </w:tcPr>
          <w:p>
            <w:pPr>
              <w:tabs>
                <w:tab w:val="clear" w:pos="426"/>
              </w:tabs>
              <w:spacing w:line="240" w:lineRule="auto"/>
              <w:jc w:val="left"/>
              <w:rPr>
                <w:szCs w:val="21"/>
              </w:rPr>
            </w:pPr>
            <w:r>
              <w:rPr>
                <w:rFonts w:hint="eastAsia"/>
                <w:szCs w:val="21"/>
              </w:rPr>
              <w:t>自合同签订之日起90日内交付并验收。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1" w:type="pct"/>
            <w:vAlign w:val="center"/>
          </w:tcPr>
          <w:p>
            <w:pPr>
              <w:tabs>
                <w:tab w:val="clear" w:pos="426"/>
              </w:tabs>
              <w:spacing w:line="240" w:lineRule="auto"/>
              <w:jc w:val="left"/>
              <w:rPr>
                <w:szCs w:val="21"/>
              </w:rPr>
            </w:pPr>
            <w:r>
              <w:rPr>
                <w:rFonts w:hint="eastAsia" w:cs="Times New Roman"/>
                <w:bCs/>
                <w:kern w:val="2"/>
                <w:szCs w:val="21"/>
              </w:rPr>
              <w:t>免费保修期</w:t>
            </w:r>
          </w:p>
        </w:tc>
        <w:tc>
          <w:tcPr>
            <w:tcW w:w="4099" w:type="pct"/>
            <w:vAlign w:val="center"/>
          </w:tcPr>
          <w:p>
            <w:pPr>
              <w:tabs>
                <w:tab w:val="clear" w:pos="426"/>
              </w:tabs>
              <w:spacing w:line="240" w:lineRule="auto"/>
              <w:jc w:val="left"/>
              <w:rPr>
                <w:szCs w:val="21"/>
              </w:rPr>
            </w:pPr>
            <w:r>
              <w:rPr>
                <w:rFonts w:hint="eastAsia"/>
                <w:szCs w:val="21"/>
              </w:rPr>
              <w:t>产品整体免费保修期为</w:t>
            </w:r>
            <w:r>
              <w:rPr>
                <w:rFonts w:hint="eastAsia"/>
                <w:szCs w:val="21"/>
                <w:lang w:val="en-US" w:eastAsia="zh-CN"/>
              </w:rPr>
              <w:t>2</w:t>
            </w:r>
            <w:r>
              <w:rPr>
                <w:rFonts w:hint="eastAsia"/>
                <w:szCs w:val="21"/>
              </w:rPr>
              <w:t>年，如产品技术参数中有特别要求的，按产品技术参数执行。自本项目验收完成之日起计算，在质保期内设备的质量问题均由投标人负责免费维修，包括本项目所有设备、零配件免费更换；对现场不能及时完成维修的，应当先行更换故障设备使之恢复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1" w:type="pct"/>
            <w:vAlign w:val="center"/>
          </w:tcPr>
          <w:p>
            <w:pPr>
              <w:tabs>
                <w:tab w:val="clear" w:pos="426"/>
              </w:tabs>
              <w:spacing w:line="240" w:lineRule="auto"/>
              <w:jc w:val="left"/>
              <w:rPr>
                <w:rFonts w:cs="Times New Roman"/>
                <w:bCs/>
                <w:kern w:val="2"/>
                <w:szCs w:val="21"/>
              </w:rPr>
            </w:pPr>
            <w:r>
              <w:rPr>
                <w:rFonts w:hint="eastAsia" w:cs="Times New Roman"/>
                <w:bCs/>
                <w:kern w:val="2"/>
                <w:szCs w:val="21"/>
              </w:rPr>
              <w:t>指挥研判终端</w:t>
            </w:r>
          </w:p>
        </w:tc>
        <w:tc>
          <w:tcPr>
            <w:tcW w:w="4099" w:type="pct"/>
            <w:vAlign w:val="center"/>
          </w:tcPr>
          <w:p>
            <w:pPr>
              <w:tabs>
                <w:tab w:val="clear" w:pos="426"/>
              </w:tabs>
              <w:spacing w:line="240" w:lineRule="auto"/>
              <w:jc w:val="left"/>
              <w:rPr>
                <w:szCs w:val="21"/>
              </w:rPr>
            </w:pPr>
            <w:r>
              <w:rPr>
                <w:rFonts w:hint="eastAsia"/>
                <w:szCs w:val="21"/>
              </w:rPr>
              <w:t>技术参数要求：</w:t>
            </w:r>
          </w:p>
          <w:p>
            <w:pPr>
              <w:tabs>
                <w:tab w:val="clear" w:pos="426"/>
              </w:tabs>
              <w:spacing w:line="240" w:lineRule="auto"/>
              <w:jc w:val="left"/>
              <w:rPr>
                <w:szCs w:val="21"/>
              </w:rPr>
            </w:pPr>
            <w:r>
              <w:rPr>
                <w:rFonts w:hint="eastAsia"/>
                <w:szCs w:val="21"/>
              </w:rPr>
              <w:t>要求可无缝接入到广东省消防图像综合管理平台，可直接对平台中所有资源目录树直接管理调用。</w:t>
            </w:r>
            <w:bookmarkStart w:id="83" w:name="OLE_LINK20"/>
            <w:r>
              <w:rPr>
                <w:rFonts w:hint="eastAsia"/>
                <w:b/>
                <w:bCs/>
                <w:color w:val="FF0000"/>
                <w:szCs w:val="21"/>
              </w:rPr>
              <w:t>（需提供图综平台建设单位的接入证明）</w:t>
            </w:r>
            <w:bookmarkEnd w:id="83"/>
          </w:p>
        </w:tc>
      </w:tr>
    </w:tbl>
    <w:p>
      <w:pPr>
        <w:ind w:left="424" w:leftChars="202"/>
        <w:rPr>
          <w:b/>
          <w:szCs w:val="21"/>
        </w:rPr>
      </w:pPr>
    </w:p>
    <w:p>
      <w:pPr>
        <w:spacing w:line="276" w:lineRule="auto"/>
        <w:ind w:firstLine="422" w:firstLineChars="200"/>
        <w:rPr>
          <w:b/>
          <w:bCs/>
          <w:szCs w:val="21"/>
        </w:rPr>
      </w:pPr>
      <w:bookmarkStart w:id="84" w:name="OLE_LINK23"/>
      <w:r>
        <w:rPr>
          <w:rFonts w:hint="eastAsia"/>
          <w:b/>
          <w:bCs/>
          <w:szCs w:val="21"/>
        </w:rPr>
        <w:t>备注：上表所列内容为不可负偏离条款，如投标供应商该部分内容出现负偏离或未对该部分内容进行响应，将按照符合性检查表作无效标处理。</w:t>
      </w:r>
    </w:p>
    <w:bookmarkEnd w:id="84"/>
    <w:p>
      <w:pPr>
        <w:numPr>
          <w:ilvl w:val="0"/>
          <w:numId w:val="3"/>
        </w:numPr>
        <w:adjustRightInd/>
        <w:snapToGrid/>
        <w:spacing w:before="280" w:after="290" w:line="377" w:lineRule="auto"/>
        <w:jc w:val="left"/>
        <w:outlineLvl w:val="2"/>
      </w:pPr>
      <w:bookmarkStart w:id="85" w:name="_Toc13349"/>
      <w:r>
        <w:rPr>
          <w:rFonts w:hint="eastAsia"/>
          <w:b/>
          <w:sz w:val="24"/>
        </w:rPr>
        <w:t>具体技术要求</w:t>
      </w:r>
      <w:bookmarkEnd w:id="85"/>
    </w:p>
    <w:tbl>
      <w:tblPr>
        <w:tblStyle w:val="85"/>
        <w:tblW w:w="8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027"/>
        <w:gridCol w:w="5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 w:type="dxa"/>
            <w:vAlign w:val="center"/>
          </w:tcPr>
          <w:p>
            <w:pPr>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序号</w:t>
            </w:r>
          </w:p>
        </w:tc>
        <w:tc>
          <w:tcPr>
            <w:tcW w:w="2027" w:type="dxa"/>
            <w:vAlign w:val="center"/>
          </w:tcPr>
          <w:p>
            <w:pPr>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货物名称</w:t>
            </w:r>
          </w:p>
        </w:tc>
        <w:tc>
          <w:tcPr>
            <w:tcW w:w="5620" w:type="dxa"/>
            <w:vAlign w:val="center"/>
          </w:tcPr>
          <w:p>
            <w:pPr>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w:t>
            </w:r>
          </w:p>
        </w:tc>
        <w:tc>
          <w:tcPr>
            <w:tcW w:w="202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指挥研判终端</w:t>
            </w:r>
          </w:p>
        </w:tc>
        <w:tc>
          <w:tcPr>
            <w:tcW w:w="5620" w:type="dxa"/>
            <w:vAlign w:val="center"/>
          </w:tcPr>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1.终端为分体式视频终端，摄像机与视频终端可分离部署，终端系统应为嵌入式操作系统，确保终端长时间稳定可靠运行；</w:t>
            </w:r>
          </w:p>
          <w:p>
            <w:pPr>
              <w:widowControl w:val="0"/>
              <w:spacing w:line="240" w:lineRule="auto"/>
              <w:rPr>
                <w:b/>
                <w:bCs/>
                <w:color w:val="FF0000"/>
                <w:szCs w:val="21"/>
              </w:rPr>
            </w:pPr>
            <w:r>
              <w:rPr>
                <w:rFonts w:hint="eastAsia"/>
                <w:b/>
                <w:bCs/>
                <w:color w:val="000000" w:themeColor="text1"/>
                <w:szCs w:val="21"/>
                <w14:textFill>
                  <w14:solidFill>
                    <w14:schemeClr w14:val="tx1"/>
                  </w14:solidFill>
                </w14:textFill>
              </w:rPr>
              <w:t>2.★要求可无缝接入到广东省消防图像综合管理平台，可直接对平台中所有资源目录树直接管理调用。</w:t>
            </w:r>
            <w:r>
              <w:rPr>
                <w:rFonts w:hint="eastAsia"/>
                <w:b/>
                <w:bCs/>
                <w:color w:val="FF0000"/>
                <w:szCs w:val="21"/>
              </w:rPr>
              <w:t>（需提供图综平台建设单位的接入证明）</w:t>
            </w:r>
          </w:p>
          <w:p>
            <w:pPr>
              <w:widowControl w:val="0"/>
              <w:spacing w:line="24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3.视频标准</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H.265、H.264 BP、H.264 HP、H.263+；音频标准G.711/G722/G722.1/G.729/G.719/OPUS,(Audec)宽频语音；</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最高图像编码分辨率：4K、最高图像解码分辨率：4K、最高数据内容分辨率：4K，活动图像帧率：5～30帧/秒。</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视频编码分辨率：视频高清：4K、1080P、1080i、720P、VGA、AUTO；数据：4K、1080P、1080i、720P、VGA、AUTO；</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至少满足如下接口，视频输入接口：1×HDMI 4K超高清输入、1×DVI-I 1080P高清输入、2×SDI 1080P高清输入；视频输出接口：4×HDMI 4K超高清解码输出，支持四显输出。</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麦克风输入：MIC IN，3.5接口；线路输入：LINE IN，RCA接口；音频输出至少2路RCA或3.5接口；</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8.外设接口1× VISCA、4× USB接口、1×DC 12V摄像机电源输出；网络接口1× 10M/100M/1000M 快速自适应以太网</w:t>
            </w:r>
          </w:p>
          <w:p>
            <w:pPr>
              <w:widowControl w:val="0"/>
              <w:spacing w:line="240" w:lineRule="auto"/>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9.▲终端支持直接召开临时调度会议，即用户不用进入WEB后台管理建会，直接建立进入临时调度会议，并邀请人员参加调度会议。</w:t>
            </w:r>
            <w:r>
              <w:rPr>
                <w:rFonts w:hint="eastAsia"/>
                <w:b/>
                <w:bCs/>
                <w:color w:val="FF0000"/>
                <w:szCs w:val="21"/>
              </w:rPr>
              <w:t>（提供第三方评测机构出具的测试报告）</w:t>
            </w:r>
          </w:p>
          <w:p>
            <w:pPr>
              <w:widowControl w:val="0"/>
              <w:spacing w:line="240" w:lineRule="auto"/>
              <w:rPr>
                <w:b/>
                <w:bCs/>
                <w:color w:val="FF0000"/>
                <w:szCs w:val="21"/>
              </w:rPr>
            </w:pPr>
            <w:r>
              <w:rPr>
                <w:rFonts w:hint="eastAsia"/>
                <w:b/>
                <w:bCs/>
                <w:color w:val="000000" w:themeColor="text1"/>
                <w:szCs w:val="21"/>
                <w14:textFill>
                  <w14:solidFill>
                    <w14:schemeClr w14:val="tx1"/>
                  </w14:solidFill>
                </w14:textFill>
              </w:rPr>
              <w:t>10.▲终端支持主席功能操作，包括调整会场屏幕分辨率和带宽、广播音视频、广播双流、邀请请出与会者、切换模板、交换窗口、设置会议标题和公告等功能。</w:t>
            </w:r>
            <w:r>
              <w:rPr>
                <w:rFonts w:hint="eastAsia"/>
                <w:b/>
                <w:bCs/>
                <w:color w:val="FF0000"/>
                <w:szCs w:val="21"/>
              </w:rPr>
              <w:t>（提供第三方评测机构出具的测试报告）</w:t>
            </w:r>
          </w:p>
          <w:p>
            <w:pPr>
              <w:widowControl w:val="0"/>
              <w:spacing w:line="240" w:lineRule="auto"/>
              <w:rPr>
                <w:b/>
                <w:bCs/>
                <w:color w:val="FF0000"/>
                <w:szCs w:val="21"/>
              </w:rPr>
            </w:pPr>
            <w:r>
              <w:rPr>
                <w:rFonts w:hint="eastAsia"/>
                <w:b/>
                <w:bCs/>
                <w:color w:val="000000" w:themeColor="text1"/>
                <w:szCs w:val="21"/>
                <w14:textFill>
                  <w14:solidFill>
                    <w14:schemeClr w14:val="tx1"/>
                  </w14:solidFill>
                </w14:textFill>
              </w:rPr>
              <w:t>11.▲终端支持本地录制数字会议录像和回放，支持选择会场中单路音视频进行录像或回放</w:t>
            </w:r>
            <w:r>
              <w:rPr>
                <w:rFonts w:hint="eastAsia"/>
                <w:b/>
                <w:bCs/>
                <w:color w:val="FF0000"/>
                <w:szCs w:val="21"/>
              </w:rPr>
              <w:t>（提供第三方评测机构出具的测试报告）</w:t>
            </w:r>
          </w:p>
          <w:p>
            <w:pPr>
              <w:widowControl w:val="0"/>
              <w:spacing w:line="240" w:lineRule="auto"/>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12.▲终端调度监控，海康、大华、天地伟业、景阳等厂商的监控摄像机可通过ONVIF和GB/T28181协议接入平台，在会议中可调取接入平台的监控摄像机的图像并进行广播，可与监控前端双向对讲。</w:t>
            </w:r>
            <w:r>
              <w:rPr>
                <w:rFonts w:hint="eastAsia"/>
                <w:b/>
                <w:bCs/>
                <w:color w:val="FF0000"/>
                <w:szCs w:val="21"/>
              </w:rPr>
              <w:t>（第三方评测机构出具的测试报告）</w:t>
            </w:r>
          </w:p>
          <w:p>
            <w:pPr>
              <w:widowControl w:val="0"/>
              <w:spacing w:line="240" w:lineRule="auto"/>
              <w:rPr>
                <w:b/>
                <w:bCs/>
                <w:color w:val="FF0000"/>
                <w:szCs w:val="21"/>
              </w:rPr>
            </w:pPr>
            <w:r>
              <w:rPr>
                <w:rFonts w:hint="eastAsia"/>
                <w:b/>
                <w:bCs/>
                <w:color w:val="000000" w:themeColor="text1"/>
                <w:szCs w:val="21"/>
                <w14:textFill>
                  <w14:solidFill>
                    <w14:schemeClr w14:val="tx1"/>
                  </w14:solidFill>
                </w14:textFill>
              </w:rPr>
              <w:t>13.▲支持在768Kbps下传输H.264 High Profile编码1920*1080P@30帧高清视频图像，客户端收到的音视频唇音同步，单向采集编码传输解码图像延时＜300ms，单向传输视音频延时小于100ms；</w:t>
            </w:r>
            <w:r>
              <w:rPr>
                <w:rFonts w:hint="eastAsia"/>
                <w:b/>
                <w:bCs/>
                <w:color w:val="FF0000"/>
                <w:szCs w:val="21"/>
              </w:rPr>
              <w:t>（提供第三方评测机构出具的测试报告）</w:t>
            </w:r>
          </w:p>
          <w:p>
            <w:pPr>
              <w:widowControl w:val="0"/>
              <w:spacing w:line="240" w:lineRule="auto"/>
              <w:rPr>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14.▲支持H.264 High Profile编码协议在丢包率达到30%的网络环境下，客户端接收图像清晰流畅无花屏破损，视音频唇音同步；</w:t>
            </w:r>
            <w:r>
              <w:rPr>
                <w:rFonts w:hint="eastAsia"/>
                <w:b/>
                <w:bCs/>
                <w:color w:val="FF0000"/>
                <w:szCs w:val="21"/>
              </w:rPr>
              <w:t>（第三方评测机构出具的测试报告）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w:t>
            </w:r>
          </w:p>
        </w:tc>
        <w:tc>
          <w:tcPr>
            <w:tcW w:w="202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专用采集设备</w:t>
            </w:r>
          </w:p>
        </w:tc>
        <w:tc>
          <w:tcPr>
            <w:tcW w:w="5620" w:type="dxa"/>
            <w:vAlign w:val="center"/>
          </w:tcPr>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1.▲双码流:USB可以支持主码流、子码流同时输出，可以同时满足近端及远端的需求；</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2.采用1/2.5英寸高品质HD CMOS成像器件；</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3.▲图像分辨率：最高分辨率支持4K@60fps，输出帧率高达60帧/秒；</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4.▲光学变焦≥12倍；</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5.▲视频输出接口至少支持1xHDMI；</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6.支持1×RS-232控制接口；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3</w:t>
            </w:r>
          </w:p>
        </w:tc>
        <w:tc>
          <w:tcPr>
            <w:tcW w:w="202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专用三脚架</w:t>
            </w:r>
          </w:p>
        </w:tc>
        <w:tc>
          <w:tcPr>
            <w:tcW w:w="5620" w:type="dxa"/>
            <w:vAlign w:val="center"/>
          </w:tcPr>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1.最高工作高度：≥1710mm</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2.收缩高度：≥695mm</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3.最低工作高度：≥630mm</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4.最大负荷：≤6kg</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5.节数：3节</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6.外形设计、材质：铝合金</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7.云台类型：阻尼式云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4</w:t>
            </w:r>
          </w:p>
        </w:tc>
        <w:tc>
          <w:tcPr>
            <w:tcW w:w="202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网线</w:t>
            </w:r>
          </w:p>
        </w:tc>
        <w:tc>
          <w:tcPr>
            <w:tcW w:w="5620" w:type="dxa"/>
            <w:vAlign w:val="center"/>
          </w:tcPr>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1.符合国际规范(ISO/IEC)的要求，电气特性超过六类(Cat.6)国际规范的要求。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5</w:t>
            </w:r>
          </w:p>
        </w:tc>
        <w:tc>
          <w:tcPr>
            <w:tcW w:w="202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操控屏</w:t>
            </w:r>
          </w:p>
        </w:tc>
        <w:tc>
          <w:tcPr>
            <w:tcW w:w="5620" w:type="dxa"/>
            <w:vAlign w:val="center"/>
          </w:tcPr>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1.屏幕尺寸：21.5英寸</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2.最佳分辨率：≥1920x1080</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3.屏幕比例：16:9（宽屏）</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4.高清标准：≥1080p（全高清）</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5.面板类型：IPS</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6.静态对比度：≥1000:1</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7.响应时间：≤4ms</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8.亮度：≥250cd/㎡</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9.可视角度：178/178°</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10.显示颜色：16.7M</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11.刷新率：60Hz</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12.视频接口：D-Sub（VGA），HDMI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6</w:t>
            </w:r>
          </w:p>
        </w:tc>
        <w:tc>
          <w:tcPr>
            <w:tcW w:w="202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分屏器</w:t>
            </w:r>
          </w:p>
        </w:tc>
        <w:tc>
          <w:tcPr>
            <w:tcW w:w="5620" w:type="dxa"/>
            <w:vAlign w:val="center"/>
          </w:tcPr>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1.一进二出4K60Hz 高清HDMI分屏器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7</w:t>
            </w:r>
          </w:p>
        </w:tc>
        <w:tc>
          <w:tcPr>
            <w:tcW w:w="202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指挥显示终端</w:t>
            </w:r>
          </w:p>
        </w:tc>
        <w:tc>
          <w:tcPr>
            <w:tcW w:w="5620" w:type="dxa"/>
            <w:vAlign w:val="center"/>
          </w:tcPr>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1.尺寸：≥长300cm，宽20cm</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2.像素间距（mm）≤10</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3.模组分辨率（W×H）≥31×16</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4.模组尺寸（mm）320（W）×160（H） </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5.模组重量（kg/块） ≤ 0.2 </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6.模组最大功耗（W/块）≤18</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7.像素密度:≥10000（点/m2 ） </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8.维护方式  前维护 </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9.显示屏亮度（nits）≥650 </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10.水平视角（°）≥120 </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11.垂直视角（°）≥120 </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12.最佳视距（m）≥10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8</w:t>
            </w:r>
          </w:p>
        </w:tc>
        <w:tc>
          <w:tcPr>
            <w:tcW w:w="202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SDI高清线</w:t>
            </w:r>
          </w:p>
        </w:tc>
        <w:tc>
          <w:tcPr>
            <w:tcW w:w="5620" w:type="dxa"/>
            <w:vAlign w:val="center"/>
          </w:tcPr>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1.75-3、5 BNC接口，纯铜线芯双屏蔽摄像头传输视频线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9</w:t>
            </w:r>
          </w:p>
        </w:tc>
        <w:tc>
          <w:tcPr>
            <w:tcW w:w="202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HDMI高清线</w:t>
            </w:r>
          </w:p>
        </w:tc>
        <w:tc>
          <w:tcPr>
            <w:tcW w:w="5620" w:type="dxa"/>
            <w:vAlign w:val="center"/>
          </w:tcPr>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1.数字高清HDMI工程视频线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10</w:t>
            </w:r>
          </w:p>
        </w:tc>
        <w:tc>
          <w:tcPr>
            <w:tcW w:w="202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图形输出设备</w:t>
            </w:r>
          </w:p>
        </w:tc>
        <w:tc>
          <w:tcPr>
            <w:tcW w:w="5620" w:type="dxa"/>
            <w:vAlign w:val="center"/>
          </w:tcPr>
          <w:p>
            <w:pPr>
              <w:widowControl w:val="0"/>
              <w:spacing w:line="24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1.Android 11.0/4+32G   </w:t>
            </w:r>
          </w:p>
          <w:p>
            <w:pPr>
              <w:widowControl w:val="0"/>
              <w:spacing w:line="24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2.LCD 尺寸≥ 75”</w:t>
            </w:r>
          </w:p>
          <w:p>
            <w:pPr>
              <w:widowControl w:val="0"/>
              <w:spacing w:line="24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3.背光类型 D-LED</w:t>
            </w:r>
          </w:p>
          <w:p>
            <w:pPr>
              <w:widowControl w:val="0"/>
              <w:spacing w:line="24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4.分辨率 ≥3840x2160</w:t>
            </w:r>
          </w:p>
          <w:p>
            <w:pPr>
              <w:widowControl w:val="0"/>
              <w:spacing w:line="24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5.亮度 ≥450cd/m²</w:t>
            </w:r>
          </w:p>
          <w:p>
            <w:pPr>
              <w:widowControl w:val="0"/>
              <w:spacing w:line="24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6.对比度≥1200:1</w:t>
            </w:r>
          </w:p>
          <w:p>
            <w:pPr>
              <w:widowControl w:val="0"/>
              <w:spacing w:line="24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7.扬声器功率≥2x15W/8Ω                                                           8.接口：RS232 ≥IN*1；</w:t>
            </w:r>
          </w:p>
          <w:p>
            <w:pPr>
              <w:widowControl w:val="0"/>
              <w:spacing w:line="24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Line out≥1；</w:t>
            </w:r>
          </w:p>
          <w:p>
            <w:pPr>
              <w:widowControl w:val="0"/>
              <w:spacing w:line="24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HDMI IN≥2；</w:t>
            </w:r>
          </w:p>
          <w:p>
            <w:pPr>
              <w:widowControl w:val="0"/>
              <w:spacing w:line="24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COAX≥1；</w:t>
            </w:r>
          </w:p>
          <w:p>
            <w:pPr>
              <w:widowControl w:val="0"/>
              <w:spacing w:line="24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MIC IN≥1；</w:t>
            </w:r>
          </w:p>
          <w:p>
            <w:pPr>
              <w:widowControl w:val="0"/>
              <w:spacing w:line="24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VGA IN≥1；</w:t>
            </w:r>
          </w:p>
          <w:p>
            <w:pPr>
              <w:widowControl w:val="0"/>
              <w:spacing w:line="24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VGA AUDIO IN≥1；</w:t>
            </w:r>
          </w:p>
          <w:p>
            <w:pPr>
              <w:widowControl w:val="0"/>
              <w:spacing w:line="24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RJ-45≥1；</w:t>
            </w:r>
          </w:p>
          <w:p>
            <w:pPr>
              <w:widowControl w:val="0"/>
              <w:spacing w:line="24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USB≥2；</w:t>
            </w:r>
          </w:p>
          <w:p>
            <w:pPr>
              <w:widowControl w:val="0"/>
              <w:spacing w:line="24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Touch USB≥1</w:t>
            </w:r>
          </w:p>
          <w:p>
            <w:pPr>
              <w:widowControl w:val="0"/>
              <w:spacing w:line="24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TFCard≥1                                                                            前置接口：USB≥3；</w:t>
            </w:r>
          </w:p>
          <w:p>
            <w:pPr>
              <w:widowControl w:val="0"/>
              <w:spacing w:line="24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Touch USB≥1；</w:t>
            </w:r>
          </w:p>
          <w:p>
            <w:pPr>
              <w:widowControl w:val="0"/>
              <w:spacing w:line="24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HDMI IN≥3</w:t>
            </w:r>
          </w:p>
          <w:p>
            <w:pPr>
              <w:widowControl w:val="0"/>
              <w:numPr>
                <w:ilvl w:val="0"/>
                <w:numId w:val="4"/>
              </w:numPr>
              <w:tabs>
                <w:tab w:val="clear" w:pos="426"/>
              </w:tabs>
              <w:spacing w:line="24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钢化玻璃与屏幕之间的距离接近 0-1mm有效防止光线反射，显示效果绝佳，书写体验优异。</w:t>
            </w:r>
          </w:p>
          <w:p>
            <w:pPr>
              <w:widowControl w:val="0"/>
              <w:spacing w:line="24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10.高精度触摸，支持 2mm 精细识别，支持 5 支 2mm 同时书写。</w:t>
            </w:r>
          </w:p>
          <w:p>
            <w:pPr>
              <w:widowControl w:val="0"/>
              <w:spacing w:line="24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11.前置  USB 接口自动跟随</w:t>
            </w:r>
          </w:p>
          <w:p>
            <w:pPr>
              <w:widowControl w:val="0"/>
              <w:spacing w:line="24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12.智能侧边栏菜单。</w:t>
            </w:r>
          </w:p>
          <w:p>
            <w:pPr>
              <w:widowControl w:val="0"/>
              <w:spacing w:line="24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13.4K UI 显示。</w:t>
            </w:r>
          </w:p>
          <w:p>
            <w:pPr>
              <w:widowControl w:val="0"/>
              <w:spacing w:line="24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14.全通道批注，带 Android 书写软件。</w:t>
            </w:r>
          </w:p>
          <w:p>
            <w:pPr>
              <w:widowControl w:val="0"/>
              <w:spacing w:line="24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15.高清 HDMI 输入</w:t>
            </w:r>
          </w:p>
          <w:p>
            <w:pPr>
              <w:widowControl w:val="0"/>
              <w:spacing w:line="240" w:lineRule="auto"/>
              <w:jc w:val="left"/>
              <w:rPr>
                <w:szCs w:val="21"/>
              </w:rPr>
            </w:pPr>
            <w:r>
              <w:rPr>
                <w:rFonts w:hint="eastAsia"/>
                <w:color w:val="000000" w:themeColor="text1"/>
                <w:szCs w:val="21"/>
                <w14:textFill>
                  <w14:solidFill>
                    <w14:schemeClr w14:val="tx1"/>
                  </w14:solidFill>
                </w14:textFill>
              </w:rPr>
              <w:t>16.自带锁屏功能。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11</w:t>
            </w:r>
          </w:p>
        </w:tc>
        <w:tc>
          <w:tcPr>
            <w:tcW w:w="202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专用投屏器</w:t>
            </w:r>
          </w:p>
        </w:tc>
        <w:tc>
          <w:tcPr>
            <w:tcW w:w="5620" w:type="dxa"/>
            <w:vAlign w:val="center"/>
          </w:tcPr>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1.支持≥4K/30Hz </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2.usb接口，Type-c接口 ，HDMI接口、VGA接口、Type-C接口、供电接口、3.5音频接口、VGA接口 ≥1</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3.投屏距离≥50米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12</w:t>
            </w:r>
          </w:p>
        </w:tc>
        <w:tc>
          <w:tcPr>
            <w:tcW w:w="202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专用支架</w:t>
            </w:r>
          </w:p>
        </w:tc>
        <w:tc>
          <w:tcPr>
            <w:tcW w:w="5620" w:type="dxa"/>
            <w:vAlign w:val="center"/>
          </w:tcPr>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1.移动支架适用尺寸≥75寸</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2.砂纹黑喷涂</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3.冷轧钢板材质</w:t>
            </w:r>
          </w:p>
          <w:p>
            <w:pPr>
              <w:widowControl w:val="0"/>
              <w:spacing w:line="240" w:lineRule="auto"/>
              <w:rPr>
                <w:szCs w:val="21"/>
              </w:rPr>
            </w:pPr>
            <w:r>
              <w:rPr>
                <w:rFonts w:hint="eastAsia"/>
                <w:color w:val="000000" w:themeColor="text1"/>
                <w:szCs w:val="21"/>
                <w14:textFill>
                  <w14:solidFill>
                    <w14:schemeClr w14:val="tx1"/>
                  </w14:solidFill>
                </w14:textFill>
              </w:rPr>
              <w:t>4.支持高度调节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13</w:t>
            </w:r>
          </w:p>
        </w:tc>
        <w:tc>
          <w:tcPr>
            <w:tcW w:w="202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时序器</w:t>
            </w:r>
          </w:p>
        </w:tc>
        <w:tc>
          <w:tcPr>
            <w:tcW w:w="5620" w:type="dxa"/>
            <w:vAlign w:val="center"/>
          </w:tcPr>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1.额定输出电压：交流220V 50Hz；</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2.可控制电源：≥8路；</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3.毎路动作延时时间：≤1秒；</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4.供电电源：VAC 50/60Hz 25A；</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5.支持钥匙开关控制电源；</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6.单路额定输出电流：30A；</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7.支持多台设备联机同时使用；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14</w:t>
            </w:r>
          </w:p>
        </w:tc>
        <w:tc>
          <w:tcPr>
            <w:tcW w:w="202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信号线</w:t>
            </w:r>
          </w:p>
        </w:tc>
        <w:tc>
          <w:tcPr>
            <w:tcW w:w="5620" w:type="dxa"/>
            <w:vAlign w:val="center"/>
          </w:tcPr>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1.2*1.5mm²纯铜金银线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15</w:t>
            </w:r>
          </w:p>
        </w:tc>
        <w:tc>
          <w:tcPr>
            <w:tcW w:w="202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电源线</w:t>
            </w:r>
          </w:p>
        </w:tc>
        <w:tc>
          <w:tcPr>
            <w:tcW w:w="5620" w:type="dxa"/>
            <w:vAlign w:val="center"/>
          </w:tcPr>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1.RVV-2*1.0 mm²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16</w:t>
            </w:r>
          </w:p>
        </w:tc>
        <w:tc>
          <w:tcPr>
            <w:tcW w:w="202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4芯光纤线</w:t>
            </w:r>
          </w:p>
        </w:tc>
        <w:tc>
          <w:tcPr>
            <w:tcW w:w="5620" w:type="dxa"/>
            <w:vAlign w:val="center"/>
          </w:tcPr>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1.铠装4芯单模室外光纤线 GYXTW-4B1中心管式 6.0 外径室外架空光缆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17</w:t>
            </w:r>
          </w:p>
        </w:tc>
        <w:tc>
          <w:tcPr>
            <w:tcW w:w="202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光纤终端盒</w:t>
            </w:r>
          </w:p>
        </w:tc>
        <w:tc>
          <w:tcPr>
            <w:tcW w:w="5620" w:type="dxa"/>
            <w:vAlign w:val="center"/>
          </w:tcPr>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1.小尺寸4口/4芯FC单模满配熔接尾纤法兰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18</w:t>
            </w:r>
          </w:p>
        </w:tc>
        <w:tc>
          <w:tcPr>
            <w:tcW w:w="202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光纤跳线</w:t>
            </w:r>
          </w:p>
        </w:tc>
        <w:tc>
          <w:tcPr>
            <w:tcW w:w="5620" w:type="dxa"/>
            <w:vAlign w:val="center"/>
          </w:tcPr>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1.FC接口单模光纤跳线，</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2.长度：3米；</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3.性能：插损≤0.5dB 回损≥50dB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19</w:t>
            </w:r>
          </w:p>
        </w:tc>
        <w:tc>
          <w:tcPr>
            <w:tcW w:w="202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千兆单模单纤光纤收发器</w:t>
            </w:r>
          </w:p>
        </w:tc>
        <w:tc>
          <w:tcPr>
            <w:tcW w:w="5620" w:type="dxa"/>
            <w:vAlign w:val="center"/>
          </w:tcPr>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1.接口类型：RJ-45，S，符合协议标准IEEE802.3，IEEE802.3u，IEEE802.3ab，IEEE802.3z，IEEE802.3x；</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2.传输速率：10/100/1000Mbps；</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3.最大传输距离：≥3000米；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20</w:t>
            </w:r>
          </w:p>
        </w:tc>
        <w:tc>
          <w:tcPr>
            <w:tcW w:w="202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灯具</w:t>
            </w:r>
          </w:p>
        </w:tc>
        <w:tc>
          <w:tcPr>
            <w:tcW w:w="5620" w:type="dxa"/>
            <w:vAlign w:val="center"/>
          </w:tcPr>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1.规格：35*80cm</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2.材质：LED节能光源</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3.备注：所有灯具应当采用色温为3500K至5000K的三基色冷光，含电线。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21</w:t>
            </w:r>
          </w:p>
        </w:tc>
        <w:tc>
          <w:tcPr>
            <w:tcW w:w="202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机柜PDU</w:t>
            </w:r>
          </w:p>
        </w:tc>
        <w:tc>
          <w:tcPr>
            <w:tcW w:w="5620" w:type="dxa"/>
            <w:vAlign w:val="center"/>
          </w:tcPr>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1.控制方式：总开关</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2.额定输入电压：250V</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3.输入功率：≥2500W</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4.最大输入电流：10A</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5.输出插座规格：≥8位多用孔</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6.输出电流：10A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22</w:t>
            </w:r>
          </w:p>
        </w:tc>
        <w:tc>
          <w:tcPr>
            <w:tcW w:w="2027" w:type="dxa"/>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机柜</w:t>
            </w:r>
          </w:p>
        </w:tc>
        <w:tc>
          <w:tcPr>
            <w:tcW w:w="5620" w:type="dxa"/>
            <w:vAlign w:val="center"/>
          </w:tcPr>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1.高度：≥1200mm，宽度：≥600mm，深度：≥600mm </w:t>
            </w:r>
          </w:p>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2.材质：冷轧钢</w:t>
            </w:r>
          </w:p>
          <w:p>
            <w:pPr>
              <w:widowControl w:val="0"/>
              <w:spacing w:line="240" w:lineRule="auto"/>
              <w:rPr>
                <w:szCs w:val="21"/>
              </w:rPr>
            </w:pPr>
            <w:r>
              <w:rPr>
                <w:rFonts w:hint="eastAsia"/>
                <w:color w:val="000000" w:themeColor="text1"/>
                <w:szCs w:val="21"/>
                <w14:textFill>
                  <w14:solidFill>
                    <w14:schemeClr w14:val="tx1"/>
                  </w14:solidFill>
                </w14:textFill>
              </w:rPr>
              <w:t>3.含1KVA/600W不间断电源1台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 w:type="dxa"/>
            <w:tcBorders>
              <w:bottom w:val="single" w:color="auto" w:sz="4" w:space="0"/>
            </w:tcBorders>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23</w:t>
            </w:r>
          </w:p>
        </w:tc>
        <w:tc>
          <w:tcPr>
            <w:tcW w:w="2027" w:type="dxa"/>
            <w:tcBorders>
              <w:bottom w:val="single" w:color="auto" w:sz="4" w:space="0"/>
            </w:tcBorders>
            <w:vAlign w:val="center"/>
          </w:tcPr>
          <w:p>
            <w:pPr>
              <w:widowControl w:val="0"/>
              <w:spacing w:line="240" w:lineRule="auto"/>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辅材管道</w:t>
            </w:r>
          </w:p>
        </w:tc>
        <w:tc>
          <w:tcPr>
            <w:tcW w:w="5620" w:type="dxa"/>
            <w:tcBorders>
              <w:bottom w:val="single" w:color="auto" w:sz="4" w:space="0"/>
            </w:tcBorders>
            <w:vAlign w:val="center"/>
          </w:tcPr>
          <w:p>
            <w:pPr>
              <w:widowControl w:val="0"/>
              <w:spacing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1.线管及其它五金配件</w:t>
            </w:r>
          </w:p>
        </w:tc>
      </w:tr>
    </w:tbl>
    <w:p>
      <w:pPr>
        <w:widowControl w:val="0"/>
        <w:shd w:val="clear" w:color="auto" w:fill="auto"/>
        <w:tabs>
          <w:tab w:val="clear" w:pos="426"/>
        </w:tabs>
        <w:adjustRightInd/>
        <w:snapToGrid/>
        <w:spacing w:line="240" w:lineRule="auto"/>
        <w:ind w:firstLine="420" w:firstLineChars="200"/>
        <w:rPr>
          <w:rFonts w:cs="Times New Roman"/>
          <w:kern w:val="2"/>
          <w:szCs w:val="21"/>
        </w:rPr>
      </w:pPr>
    </w:p>
    <w:p>
      <w:pPr>
        <w:widowControl w:val="0"/>
        <w:shd w:val="clear" w:color="auto" w:fill="auto"/>
        <w:tabs>
          <w:tab w:val="clear" w:pos="426"/>
        </w:tabs>
        <w:adjustRightInd/>
        <w:snapToGrid/>
        <w:spacing w:line="240" w:lineRule="auto"/>
        <w:ind w:firstLine="422" w:firstLineChars="200"/>
        <w:rPr>
          <w:rFonts w:cs="Times New Roman"/>
          <w:b/>
          <w:bCs/>
          <w:kern w:val="2"/>
          <w:szCs w:val="21"/>
        </w:rPr>
      </w:pPr>
      <w:bookmarkStart w:id="86" w:name="OLE_LINK22"/>
      <w:r>
        <w:rPr>
          <w:rFonts w:hint="eastAsia" w:cs="Times New Roman"/>
          <w:b/>
          <w:bCs/>
          <w:kern w:val="2"/>
          <w:szCs w:val="21"/>
        </w:rPr>
        <w:t>备注：</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cs="Times New Roman"/>
          <w:b/>
          <w:bCs/>
          <w:kern w:val="2"/>
          <w:szCs w:val="21"/>
        </w:rPr>
        <w:t>1.技术要求分为一般技术要求</w:t>
      </w:r>
      <w:r>
        <w:rPr>
          <w:rFonts w:hint="eastAsia" w:cs="Times New Roman"/>
          <w:b/>
          <w:bCs/>
          <w:kern w:val="2"/>
          <w:szCs w:val="21"/>
        </w:rPr>
        <w:t>、</w:t>
      </w:r>
      <w:r>
        <w:rPr>
          <w:rFonts w:cs="Times New Roman"/>
          <w:b/>
          <w:bCs/>
          <w:kern w:val="2"/>
          <w:szCs w:val="21"/>
        </w:rPr>
        <w:t>重要技术要求</w:t>
      </w:r>
      <w:r>
        <w:rPr>
          <w:rFonts w:hint="eastAsia" w:cs="Times New Roman"/>
          <w:b/>
          <w:bCs/>
          <w:kern w:val="2"/>
          <w:szCs w:val="21"/>
        </w:rPr>
        <w:t>（以“▲”标注）</w:t>
      </w:r>
      <w:r>
        <w:rPr>
          <w:rFonts w:cs="Times New Roman"/>
          <w:b/>
          <w:bCs/>
          <w:kern w:val="2"/>
          <w:szCs w:val="21"/>
        </w:rPr>
        <w:t>和实质性技术要求</w:t>
      </w:r>
      <w:r>
        <w:rPr>
          <w:rFonts w:hint="eastAsia" w:cs="Times New Roman"/>
          <w:b/>
          <w:bCs/>
          <w:kern w:val="2"/>
          <w:szCs w:val="21"/>
        </w:rPr>
        <w:t>（以“★</w:t>
      </w:r>
      <w:r>
        <w:rPr>
          <w:rFonts w:cs="Times New Roman"/>
          <w:b/>
          <w:bCs/>
          <w:kern w:val="2"/>
          <w:szCs w:val="21"/>
        </w:rPr>
        <w:t>”</w:t>
      </w:r>
      <w:r>
        <w:rPr>
          <w:rFonts w:hint="eastAsia" w:cs="Times New Roman"/>
          <w:b/>
          <w:bCs/>
          <w:kern w:val="2"/>
          <w:szCs w:val="21"/>
        </w:rPr>
        <w:t>标注）。一般技术要求和重要技术要求若出现不响应或负偏离，其综合评分的相关分数将予以扣减，但不作为无效标条款。实质性技术要求（以“★</w:t>
      </w:r>
      <w:r>
        <w:rPr>
          <w:rFonts w:cs="Times New Roman"/>
          <w:b/>
          <w:bCs/>
          <w:kern w:val="2"/>
          <w:szCs w:val="21"/>
        </w:rPr>
        <w:t>”</w:t>
      </w:r>
      <w:r>
        <w:rPr>
          <w:rFonts w:hint="eastAsia" w:cs="Times New Roman"/>
          <w:b/>
          <w:bCs/>
          <w:kern w:val="2"/>
          <w:szCs w:val="21"/>
        </w:rPr>
        <w:t>标注）若出现不响应或任何的负偏离，将导致投标无效。</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2</w:t>
      </w:r>
      <w:r>
        <w:rPr>
          <w:rFonts w:cs="Times New Roman"/>
          <w:b/>
          <w:bCs/>
          <w:kern w:val="2"/>
          <w:szCs w:val="21"/>
        </w:rPr>
        <w:t>.若“招标技术要求”要求对投标产品的技术参数提供相应的证明资料，以证明投标人响应的真实性，投标人应按照招标文件的要求提供证明资料。投标人应在</w:t>
      </w:r>
      <w:r>
        <w:rPr>
          <w:rFonts w:hint="eastAsia" w:cs="Times New Roman"/>
          <w:b/>
          <w:bCs/>
          <w:kern w:val="2"/>
          <w:szCs w:val="21"/>
        </w:rPr>
        <w:t>《技术规格偏离表》</w:t>
      </w:r>
      <w:r>
        <w:rPr>
          <w:rFonts w:cs="Times New Roman"/>
          <w:b/>
          <w:bCs/>
          <w:kern w:val="2"/>
          <w:szCs w:val="21"/>
        </w:rPr>
        <w:t>"说明"一栏中列出技术参数的证明资料名称，并指明该证明资料在投标文件中的具体位置。</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若</w:t>
      </w:r>
      <w:bookmarkStart w:id="87" w:name="OLE_LINK21"/>
      <w:r>
        <w:rPr>
          <w:rFonts w:hint="eastAsia" w:cs="Times New Roman"/>
          <w:b/>
          <w:bCs/>
          <w:kern w:val="2"/>
          <w:szCs w:val="21"/>
        </w:rPr>
        <w:t>“招标技术要求”没有要求对投标产品的技术参数提供相应的证明资料</w:t>
      </w:r>
      <w:bookmarkEnd w:id="87"/>
      <w:r>
        <w:rPr>
          <w:rFonts w:hint="eastAsia" w:cs="Times New Roman"/>
          <w:b/>
          <w:bCs/>
          <w:kern w:val="2"/>
          <w:szCs w:val="21"/>
        </w:rPr>
        <w:t>，投标人所提供的《技术规格偏离表》即为对招标技术要求作出投标技术响应的书面承诺，投标人在中标后应严格按照承诺内容供货和履约，否则采购人有权将相关情况报政府采购主管部门并依据相关法律法规追究投标人的责任。</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cs="Times New Roman"/>
          <w:b/>
          <w:bCs/>
          <w:kern w:val="2"/>
          <w:szCs w:val="21"/>
        </w:rPr>
        <w:t>未达到以上提供要求的，评标委员会有权认定为不合格响应，其相关分数予以扣减。</w:t>
      </w:r>
    </w:p>
    <w:bookmarkEnd w:id="86"/>
    <w:p>
      <w:pPr>
        <w:numPr>
          <w:ilvl w:val="0"/>
          <w:numId w:val="3"/>
        </w:numPr>
        <w:adjustRightInd/>
        <w:snapToGrid/>
        <w:spacing w:before="280" w:after="290" w:line="377" w:lineRule="auto"/>
        <w:jc w:val="left"/>
        <w:outlineLvl w:val="2"/>
        <w:rPr>
          <w:b/>
          <w:sz w:val="24"/>
        </w:rPr>
      </w:pPr>
      <w:bookmarkStart w:id="88" w:name="_Toc4002"/>
      <w:r>
        <w:rPr>
          <w:rFonts w:hint="eastAsia"/>
          <w:b/>
          <w:sz w:val="24"/>
        </w:rPr>
        <w:t>商务需求</w:t>
      </w:r>
      <w:bookmarkEnd w:id="88"/>
    </w:p>
    <w:tbl>
      <w:tblPr>
        <w:tblStyle w:val="85"/>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1737"/>
        <w:gridCol w:w="6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6" w:type="pct"/>
            <w:vAlign w:val="center"/>
          </w:tcPr>
          <w:p>
            <w:pPr>
              <w:spacing w:line="240" w:lineRule="auto"/>
              <w:jc w:val="center"/>
              <w:rPr>
                <w:bCs/>
                <w:szCs w:val="21"/>
              </w:rPr>
            </w:pPr>
            <w:r>
              <w:rPr>
                <w:rFonts w:hint="eastAsia"/>
                <w:bCs/>
                <w:szCs w:val="21"/>
              </w:rPr>
              <w:t>序号</w:t>
            </w:r>
          </w:p>
        </w:tc>
        <w:tc>
          <w:tcPr>
            <w:tcW w:w="909" w:type="pct"/>
            <w:vAlign w:val="center"/>
          </w:tcPr>
          <w:p>
            <w:pPr>
              <w:spacing w:line="240" w:lineRule="auto"/>
              <w:jc w:val="center"/>
              <w:rPr>
                <w:bCs/>
                <w:szCs w:val="21"/>
              </w:rPr>
            </w:pPr>
            <w:r>
              <w:rPr>
                <w:rFonts w:hint="eastAsia"/>
                <w:bCs/>
                <w:szCs w:val="21"/>
              </w:rPr>
              <w:t>目录</w:t>
            </w:r>
          </w:p>
        </w:tc>
        <w:tc>
          <w:tcPr>
            <w:tcW w:w="3383" w:type="pct"/>
            <w:vAlign w:val="center"/>
          </w:tcPr>
          <w:p>
            <w:pPr>
              <w:spacing w:line="240" w:lineRule="auto"/>
              <w:jc w:val="center"/>
              <w:rPr>
                <w:bCs/>
                <w:szCs w:val="21"/>
              </w:rPr>
            </w:pPr>
            <w:r>
              <w:rPr>
                <w:rFonts w:hint="eastAsia"/>
                <w:bCs/>
                <w:szCs w:val="21"/>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000" w:type="pct"/>
            <w:gridSpan w:val="3"/>
          </w:tcPr>
          <w:p>
            <w:pPr>
              <w:widowControl w:val="0"/>
              <w:spacing w:line="240" w:lineRule="auto"/>
              <w:rPr>
                <w:b/>
                <w:szCs w:val="21"/>
              </w:rPr>
            </w:pPr>
            <w:r>
              <w:rPr>
                <w:rFonts w:hint="eastAsia"/>
                <w:b/>
                <w:szCs w:val="21"/>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6" w:type="pct"/>
            <w:vAlign w:val="center"/>
          </w:tcPr>
          <w:p>
            <w:pPr>
              <w:widowControl w:val="0"/>
              <w:spacing w:line="240" w:lineRule="auto"/>
              <w:jc w:val="center"/>
              <w:rPr>
                <w:bCs/>
                <w:szCs w:val="21"/>
              </w:rPr>
            </w:pPr>
            <w:r>
              <w:rPr>
                <w:rFonts w:hint="eastAsia"/>
                <w:bCs/>
                <w:szCs w:val="21"/>
              </w:rPr>
              <w:t>1</w:t>
            </w:r>
          </w:p>
        </w:tc>
        <w:tc>
          <w:tcPr>
            <w:tcW w:w="909" w:type="pct"/>
            <w:vAlign w:val="center"/>
          </w:tcPr>
          <w:p>
            <w:pPr>
              <w:widowControl w:val="0"/>
              <w:spacing w:line="240" w:lineRule="auto"/>
              <w:jc w:val="center"/>
              <w:rPr>
                <w:bCs/>
                <w:szCs w:val="21"/>
              </w:rPr>
            </w:pPr>
            <w:r>
              <w:rPr>
                <w:rFonts w:hint="eastAsia"/>
                <w:bCs/>
                <w:szCs w:val="21"/>
              </w:rPr>
              <w:t>维修响应及故障解决时间</w:t>
            </w:r>
          </w:p>
        </w:tc>
        <w:tc>
          <w:tcPr>
            <w:tcW w:w="3383" w:type="pct"/>
          </w:tcPr>
          <w:p>
            <w:pPr>
              <w:widowControl w:val="0"/>
              <w:spacing w:line="240" w:lineRule="auto"/>
              <w:rPr>
                <w:b/>
                <w:szCs w:val="21"/>
              </w:rPr>
            </w:pPr>
            <w:r>
              <w:rPr>
                <w:rFonts w:hint="eastAsia"/>
                <w:szCs w:val="21"/>
              </w:rPr>
              <w:t>1.1在质保期内向采购人提供</w:t>
            </w:r>
            <w:r>
              <w:rPr>
                <w:rFonts w:hint="eastAsia"/>
                <w:szCs w:val="21"/>
                <w:u w:val="single"/>
              </w:rPr>
              <w:t xml:space="preserve">  7*24   </w:t>
            </w:r>
            <w:r>
              <w:rPr>
                <w:rFonts w:hint="eastAsia"/>
                <w:szCs w:val="21"/>
              </w:rPr>
              <w:t>小时技术支持与上门现场服务，提供专门固定的报障服务电话和指定专人负责，可采取电话指导、上门维护等多种方式，投标人须保证在接到维护电话</w:t>
            </w:r>
            <w:r>
              <w:rPr>
                <w:rFonts w:hint="eastAsia"/>
                <w:szCs w:val="21"/>
                <w:u w:val="single"/>
              </w:rPr>
              <w:t xml:space="preserve">  2   </w:t>
            </w:r>
            <w:r>
              <w:rPr>
                <w:rFonts w:hint="eastAsia"/>
                <w:szCs w:val="21"/>
              </w:rPr>
              <w:t>小时内响应，</w:t>
            </w:r>
            <w:r>
              <w:rPr>
                <w:rFonts w:hint="eastAsia"/>
                <w:szCs w:val="21"/>
                <w:u w:val="single"/>
              </w:rPr>
              <w:t xml:space="preserve">   12  </w:t>
            </w:r>
            <w:r>
              <w:rPr>
                <w:rFonts w:hint="eastAsia"/>
                <w:szCs w:val="21"/>
              </w:rPr>
              <w:t>小时到场，并在</w:t>
            </w:r>
            <w:r>
              <w:rPr>
                <w:rFonts w:hint="eastAsia"/>
                <w:szCs w:val="21"/>
                <w:u w:val="single"/>
              </w:rPr>
              <w:t xml:space="preserve">   24   </w:t>
            </w:r>
            <w:r>
              <w:rPr>
                <w:rFonts w:hint="eastAsia"/>
                <w:szCs w:val="21"/>
              </w:rPr>
              <w:t>小时内恢复设备正常运行。在质保期内，如</w:t>
            </w:r>
            <w:r>
              <w:rPr>
                <w:rFonts w:hint="eastAsia"/>
                <w:szCs w:val="21"/>
                <w:u w:val="single"/>
              </w:rPr>
              <w:t xml:space="preserve">   24  </w:t>
            </w:r>
            <w:r>
              <w:rPr>
                <w:rFonts w:hint="eastAsia"/>
                <w:szCs w:val="21"/>
              </w:rPr>
              <w:t>小时内无法修复设备，提供替代设备给采购人使用，直到故障设备修复正常使用为止。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6" w:type="pct"/>
            <w:vMerge w:val="restart"/>
            <w:vAlign w:val="center"/>
          </w:tcPr>
          <w:p>
            <w:pPr>
              <w:widowControl w:val="0"/>
              <w:spacing w:line="240" w:lineRule="auto"/>
              <w:jc w:val="center"/>
              <w:rPr>
                <w:b/>
                <w:szCs w:val="21"/>
              </w:rPr>
            </w:pPr>
            <w:r>
              <w:rPr>
                <w:rFonts w:hint="eastAsia"/>
                <w:szCs w:val="21"/>
              </w:rPr>
              <w:t>2</w:t>
            </w:r>
          </w:p>
        </w:tc>
        <w:tc>
          <w:tcPr>
            <w:tcW w:w="909" w:type="pct"/>
            <w:vMerge w:val="restart"/>
            <w:vAlign w:val="center"/>
          </w:tcPr>
          <w:p>
            <w:pPr>
              <w:widowControl w:val="0"/>
              <w:spacing w:line="240" w:lineRule="auto"/>
              <w:jc w:val="center"/>
              <w:rPr>
                <w:szCs w:val="21"/>
              </w:rPr>
            </w:pPr>
            <w:r>
              <w:rPr>
                <w:rFonts w:hint="eastAsia"/>
                <w:szCs w:val="21"/>
              </w:rPr>
              <w:t>免费保修期</w:t>
            </w:r>
          </w:p>
        </w:tc>
        <w:tc>
          <w:tcPr>
            <w:tcW w:w="3383" w:type="pct"/>
          </w:tcPr>
          <w:p>
            <w:pPr>
              <w:widowControl w:val="0"/>
              <w:spacing w:line="240" w:lineRule="auto"/>
              <w:rPr>
                <w:bCs/>
                <w:szCs w:val="21"/>
              </w:rPr>
            </w:pPr>
            <w:r>
              <w:rPr>
                <w:rFonts w:hint="eastAsia"/>
                <w:bCs/>
                <w:szCs w:val="21"/>
              </w:rPr>
              <w:t>2.1产品整体免费保修期为</w:t>
            </w:r>
            <w:r>
              <w:rPr>
                <w:rFonts w:hint="eastAsia"/>
                <w:bCs/>
                <w:szCs w:val="21"/>
                <w:lang w:val="en-US" w:eastAsia="zh-CN"/>
              </w:rPr>
              <w:t>2</w:t>
            </w:r>
            <w:r>
              <w:rPr>
                <w:rFonts w:hint="eastAsia"/>
                <w:bCs/>
                <w:szCs w:val="21"/>
              </w:rPr>
              <w:t>年，如产品技术参数中有特别要求的，按产品技术参数执行。自本项目验收完成之日起计算，在质保期内设备的质量问题均由投标人负责免费维修，包括本项目所有设备、零配件免费更换；对现场不能及时完成维修的，应当先行更换故障设备使之恢复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6" w:type="pct"/>
            <w:vMerge w:val="continue"/>
            <w:vAlign w:val="center"/>
          </w:tcPr>
          <w:p>
            <w:pPr>
              <w:widowControl w:val="0"/>
              <w:spacing w:line="240" w:lineRule="auto"/>
              <w:jc w:val="center"/>
              <w:rPr>
                <w:szCs w:val="21"/>
              </w:rPr>
            </w:pPr>
          </w:p>
        </w:tc>
        <w:tc>
          <w:tcPr>
            <w:tcW w:w="909" w:type="pct"/>
            <w:vMerge w:val="continue"/>
          </w:tcPr>
          <w:p>
            <w:pPr>
              <w:widowControl w:val="0"/>
              <w:spacing w:line="240" w:lineRule="auto"/>
              <w:rPr>
                <w:szCs w:val="21"/>
              </w:rPr>
            </w:pPr>
          </w:p>
        </w:tc>
        <w:tc>
          <w:tcPr>
            <w:tcW w:w="3383" w:type="pct"/>
          </w:tcPr>
          <w:p>
            <w:pPr>
              <w:widowControl w:val="0"/>
              <w:spacing w:line="240" w:lineRule="auto"/>
              <w:rPr>
                <w:b/>
                <w:szCs w:val="21"/>
              </w:rPr>
            </w:pPr>
            <w:r>
              <w:rPr>
                <w:rFonts w:hint="eastAsia"/>
                <w:bCs/>
                <w:szCs w:val="21"/>
              </w:rPr>
              <w:t>2.2</w:t>
            </w:r>
            <w:r>
              <w:rPr>
                <w:rFonts w:hint="eastAsia"/>
                <w:szCs w:val="21"/>
              </w:rPr>
              <w:t>在保修期间非人为破坏，都应列入保修范围内。超</w:t>
            </w:r>
            <w:r>
              <w:rPr>
                <w:rFonts w:hint="eastAsia"/>
                <w:szCs w:val="21"/>
                <w:lang w:eastAsia="zh-Hans"/>
              </w:rPr>
              <w:t>出保修期或者是人为破坏的</w:t>
            </w:r>
            <w:r>
              <w:rPr>
                <w:rFonts w:hint="eastAsia"/>
                <w:szCs w:val="21"/>
              </w:rPr>
              <w:t>中标人须保证以合理的价格提供备件和保养服务，当发生故障时，中标人须按质保期内同样的要求进行维修处理。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6" w:type="pct"/>
            <w:vAlign w:val="center"/>
          </w:tcPr>
          <w:p>
            <w:pPr>
              <w:widowControl w:val="0"/>
              <w:spacing w:line="240" w:lineRule="auto"/>
              <w:jc w:val="center"/>
              <w:rPr>
                <w:szCs w:val="21"/>
              </w:rPr>
            </w:pPr>
            <w:r>
              <w:rPr>
                <w:rFonts w:hint="eastAsia"/>
                <w:szCs w:val="21"/>
              </w:rPr>
              <w:t>3</w:t>
            </w:r>
          </w:p>
        </w:tc>
        <w:tc>
          <w:tcPr>
            <w:tcW w:w="909" w:type="pct"/>
            <w:vAlign w:val="center"/>
          </w:tcPr>
          <w:p>
            <w:pPr>
              <w:widowControl w:val="0"/>
              <w:spacing w:line="240" w:lineRule="auto"/>
              <w:jc w:val="center"/>
              <w:rPr>
                <w:b/>
                <w:szCs w:val="21"/>
              </w:rPr>
            </w:pPr>
            <w:r>
              <w:rPr>
                <w:rFonts w:hint="eastAsia"/>
                <w:szCs w:val="21"/>
              </w:rPr>
              <w:t>其他</w:t>
            </w:r>
          </w:p>
        </w:tc>
        <w:tc>
          <w:tcPr>
            <w:tcW w:w="3383" w:type="pct"/>
            <w:vAlign w:val="center"/>
          </w:tcPr>
          <w:p>
            <w:pPr>
              <w:widowControl w:val="0"/>
              <w:spacing w:line="240" w:lineRule="auto"/>
              <w:rPr>
                <w:b/>
                <w:szCs w:val="21"/>
              </w:rPr>
            </w:pPr>
            <w:r>
              <w:rPr>
                <w:rFonts w:hint="eastAsia"/>
                <w:bCs/>
                <w:color w:val="000000"/>
                <w:szCs w:val="21"/>
              </w:rPr>
              <w:t>3.1</w:t>
            </w:r>
            <w:r>
              <w:rPr>
                <w:rFonts w:hint="eastAsia"/>
                <w:bCs/>
                <w:color w:val="000000"/>
                <w:szCs w:val="21"/>
                <w:lang w:val="en-US" w:eastAsia="zh-CN"/>
              </w:rPr>
              <w:t>投标</w:t>
            </w:r>
            <w:r>
              <w:rPr>
                <w:rFonts w:hint="eastAsia"/>
                <w:bCs/>
                <w:color w:val="000000"/>
                <w:szCs w:val="21"/>
              </w:rPr>
              <w:t>人按其投标文件中的承诺，进行其他售后服务工作。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000" w:type="pct"/>
            <w:gridSpan w:val="3"/>
          </w:tcPr>
          <w:p>
            <w:pPr>
              <w:widowControl w:val="0"/>
              <w:spacing w:line="240" w:lineRule="auto"/>
              <w:rPr>
                <w:b/>
                <w:szCs w:val="21"/>
              </w:rPr>
            </w:pPr>
            <w:r>
              <w:rPr>
                <w:rFonts w:hint="eastAsia"/>
                <w:b/>
                <w:szCs w:val="21"/>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6" w:type="pct"/>
            <w:vMerge w:val="restart"/>
            <w:vAlign w:val="center"/>
          </w:tcPr>
          <w:p>
            <w:pPr>
              <w:widowControl w:val="0"/>
              <w:spacing w:line="240" w:lineRule="auto"/>
              <w:jc w:val="center"/>
              <w:rPr>
                <w:szCs w:val="21"/>
              </w:rPr>
            </w:pPr>
            <w:r>
              <w:rPr>
                <w:rFonts w:hint="eastAsia"/>
                <w:szCs w:val="21"/>
              </w:rPr>
              <w:t>1</w:t>
            </w:r>
          </w:p>
        </w:tc>
        <w:tc>
          <w:tcPr>
            <w:tcW w:w="909" w:type="pct"/>
            <w:vMerge w:val="restart"/>
            <w:vAlign w:val="center"/>
          </w:tcPr>
          <w:p>
            <w:pPr>
              <w:widowControl w:val="0"/>
              <w:spacing w:line="240" w:lineRule="auto"/>
              <w:jc w:val="center"/>
              <w:rPr>
                <w:b/>
                <w:szCs w:val="21"/>
              </w:rPr>
            </w:pPr>
            <w:r>
              <w:rPr>
                <w:rFonts w:hint="eastAsia"/>
                <w:szCs w:val="21"/>
              </w:rPr>
              <w:t>维保期外</w:t>
            </w:r>
          </w:p>
        </w:tc>
        <w:tc>
          <w:tcPr>
            <w:tcW w:w="3383" w:type="pct"/>
            <w:vAlign w:val="center"/>
          </w:tcPr>
          <w:p>
            <w:pPr>
              <w:widowControl w:val="0"/>
              <w:spacing w:line="240" w:lineRule="auto"/>
              <w:rPr>
                <w:b/>
                <w:szCs w:val="21"/>
              </w:rPr>
            </w:pPr>
            <w:r>
              <w:rPr>
                <w:rFonts w:hint="eastAsia"/>
                <w:bCs/>
                <w:color w:val="000000"/>
                <w:szCs w:val="21"/>
              </w:rPr>
              <w:t>1.1维保期外，一旦发生质量问题，免费提供电话咨询解答服务。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6" w:type="pct"/>
            <w:vMerge w:val="continue"/>
            <w:vAlign w:val="center"/>
          </w:tcPr>
          <w:p>
            <w:pPr>
              <w:widowControl w:val="0"/>
              <w:spacing w:line="240" w:lineRule="auto"/>
              <w:jc w:val="center"/>
              <w:rPr>
                <w:b/>
                <w:szCs w:val="21"/>
              </w:rPr>
            </w:pPr>
          </w:p>
        </w:tc>
        <w:tc>
          <w:tcPr>
            <w:tcW w:w="909" w:type="pct"/>
            <w:vMerge w:val="continue"/>
          </w:tcPr>
          <w:p>
            <w:pPr>
              <w:widowControl w:val="0"/>
              <w:spacing w:line="240" w:lineRule="auto"/>
              <w:rPr>
                <w:b/>
                <w:szCs w:val="21"/>
              </w:rPr>
            </w:pPr>
          </w:p>
        </w:tc>
        <w:tc>
          <w:tcPr>
            <w:tcW w:w="3383" w:type="pct"/>
            <w:vAlign w:val="center"/>
          </w:tcPr>
          <w:p>
            <w:pPr>
              <w:widowControl w:val="0"/>
              <w:spacing w:line="240" w:lineRule="auto"/>
              <w:rPr>
                <w:b/>
                <w:szCs w:val="21"/>
              </w:rPr>
            </w:pPr>
            <w:r>
              <w:rPr>
                <w:rFonts w:hint="eastAsia"/>
                <w:bCs/>
                <w:color w:val="000000"/>
                <w:szCs w:val="21"/>
              </w:rPr>
              <w:t>1.2 维保期外，一旦发生质量问题，如果需要上门支持服务或者更换零配件，</w:t>
            </w:r>
            <w:r>
              <w:rPr>
                <w:rFonts w:hint="eastAsia"/>
                <w:bCs/>
                <w:color w:val="000000"/>
                <w:szCs w:val="21"/>
                <w:lang w:val="en-US" w:eastAsia="zh-CN"/>
              </w:rPr>
              <w:t>投标</w:t>
            </w:r>
            <w:r>
              <w:rPr>
                <w:rFonts w:hint="eastAsia"/>
                <w:bCs/>
                <w:color w:val="000000"/>
                <w:szCs w:val="21"/>
              </w:rPr>
              <w:t>人保证在接到通知24小时内赶到现场进行修理或更换，</w:t>
            </w:r>
            <w:r>
              <w:rPr>
                <w:rFonts w:hint="eastAsia"/>
                <w:color w:val="000000"/>
                <w:szCs w:val="21"/>
              </w:rPr>
              <w:t>以深圳市场零售价格的配件价格向采购人提供零备件。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000" w:type="pct"/>
            <w:gridSpan w:val="3"/>
          </w:tcPr>
          <w:p>
            <w:pPr>
              <w:widowControl w:val="0"/>
              <w:spacing w:line="240" w:lineRule="auto"/>
              <w:rPr>
                <w:b/>
                <w:szCs w:val="21"/>
              </w:rPr>
            </w:pPr>
            <w:r>
              <w:rPr>
                <w:rFonts w:hint="eastAsia"/>
                <w:b/>
                <w:szCs w:val="21"/>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6" w:type="pct"/>
            <w:vAlign w:val="center"/>
          </w:tcPr>
          <w:p>
            <w:pPr>
              <w:widowControl w:val="0"/>
              <w:spacing w:line="240" w:lineRule="auto"/>
              <w:jc w:val="center"/>
              <w:rPr>
                <w:szCs w:val="21"/>
              </w:rPr>
            </w:pPr>
            <w:r>
              <w:rPr>
                <w:rFonts w:hint="eastAsia"/>
                <w:szCs w:val="21"/>
              </w:rPr>
              <w:t>1</w:t>
            </w:r>
          </w:p>
        </w:tc>
        <w:tc>
          <w:tcPr>
            <w:tcW w:w="909" w:type="pct"/>
            <w:vAlign w:val="center"/>
          </w:tcPr>
          <w:p>
            <w:pPr>
              <w:widowControl w:val="0"/>
              <w:spacing w:line="240" w:lineRule="auto"/>
              <w:jc w:val="center"/>
              <w:rPr>
                <w:szCs w:val="21"/>
              </w:rPr>
            </w:pPr>
            <w:r>
              <w:rPr>
                <w:rFonts w:hint="eastAsia"/>
                <w:szCs w:val="21"/>
              </w:rPr>
              <w:t>关于交货</w:t>
            </w:r>
          </w:p>
        </w:tc>
        <w:tc>
          <w:tcPr>
            <w:tcW w:w="3383" w:type="pct"/>
            <w:vAlign w:val="center"/>
          </w:tcPr>
          <w:p>
            <w:pPr>
              <w:widowControl w:val="0"/>
              <w:spacing w:line="240" w:lineRule="auto"/>
              <w:rPr>
                <w:bCs/>
                <w:szCs w:val="21"/>
              </w:rPr>
            </w:pPr>
            <w:r>
              <w:rPr>
                <w:rFonts w:hint="eastAsia"/>
                <w:szCs w:val="21"/>
              </w:rPr>
              <w:t>★</w:t>
            </w:r>
            <w:r>
              <w:rPr>
                <w:rFonts w:hint="eastAsia"/>
                <w:color w:val="000000"/>
                <w:szCs w:val="21"/>
              </w:rPr>
              <w:t>1.1</w:t>
            </w:r>
            <w:r>
              <w:rPr>
                <w:rFonts w:hint="eastAsia"/>
                <w:bCs/>
                <w:color w:val="000000"/>
                <w:szCs w:val="21"/>
              </w:rPr>
              <w:t>自合同签订之日</w:t>
            </w:r>
            <w:r>
              <w:rPr>
                <w:rFonts w:hint="eastAsia"/>
                <w:bCs/>
                <w:szCs w:val="21"/>
              </w:rPr>
              <w:t>起</w:t>
            </w:r>
            <w:r>
              <w:rPr>
                <w:rFonts w:hint="eastAsia"/>
                <w:b/>
                <w:szCs w:val="21"/>
              </w:rPr>
              <w:t>90</w:t>
            </w:r>
            <w:r>
              <w:rPr>
                <w:rFonts w:hint="eastAsia"/>
                <w:bCs/>
                <w:szCs w:val="21"/>
              </w:rPr>
              <w:t>日内交付</w:t>
            </w:r>
            <w:r>
              <w:rPr>
                <w:rFonts w:hint="eastAsia"/>
                <w:bCs/>
                <w:color w:val="000000"/>
                <w:szCs w:val="21"/>
              </w:rPr>
              <w:t>并验收。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6" w:type="pct"/>
            <w:vAlign w:val="center"/>
          </w:tcPr>
          <w:p>
            <w:pPr>
              <w:widowControl w:val="0"/>
              <w:spacing w:line="240" w:lineRule="auto"/>
              <w:jc w:val="center"/>
              <w:rPr>
                <w:szCs w:val="21"/>
              </w:rPr>
            </w:pPr>
            <w:r>
              <w:rPr>
                <w:rFonts w:hint="eastAsia"/>
                <w:szCs w:val="21"/>
              </w:rPr>
              <w:t>2</w:t>
            </w:r>
          </w:p>
        </w:tc>
        <w:tc>
          <w:tcPr>
            <w:tcW w:w="909" w:type="pct"/>
            <w:vAlign w:val="center"/>
          </w:tcPr>
          <w:p>
            <w:pPr>
              <w:widowControl w:val="0"/>
              <w:spacing w:line="240" w:lineRule="auto"/>
              <w:jc w:val="center"/>
              <w:rPr>
                <w:szCs w:val="21"/>
              </w:rPr>
            </w:pPr>
            <w:r>
              <w:rPr>
                <w:rFonts w:hint="eastAsia"/>
                <w:szCs w:val="21"/>
              </w:rPr>
              <w:t>供货地点</w:t>
            </w:r>
          </w:p>
        </w:tc>
        <w:tc>
          <w:tcPr>
            <w:tcW w:w="3383" w:type="pct"/>
            <w:vAlign w:val="center"/>
          </w:tcPr>
          <w:p>
            <w:pPr>
              <w:widowControl w:val="0"/>
              <w:spacing w:line="240" w:lineRule="auto"/>
              <w:rPr>
                <w:szCs w:val="21"/>
              </w:rPr>
            </w:pPr>
            <w:r>
              <w:rPr>
                <w:rFonts w:hint="eastAsia"/>
                <w:szCs w:val="21"/>
              </w:rPr>
              <w:t>2.1采购人指定地点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6" w:type="pct"/>
            <w:vAlign w:val="center"/>
          </w:tcPr>
          <w:p>
            <w:pPr>
              <w:widowControl w:val="0"/>
              <w:spacing w:line="240" w:lineRule="auto"/>
              <w:jc w:val="center"/>
              <w:rPr>
                <w:szCs w:val="21"/>
              </w:rPr>
            </w:pPr>
            <w:r>
              <w:rPr>
                <w:rFonts w:hint="eastAsia"/>
                <w:szCs w:val="21"/>
              </w:rPr>
              <w:t>3</w:t>
            </w:r>
          </w:p>
        </w:tc>
        <w:tc>
          <w:tcPr>
            <w:tcW w:w="909" w:type="pct"/>
            <w:vAlign w:val="center"/>
          </w:tcPr>
          <w:p>
            <w:pPr>
              <w:widowControl w:val="0"/>
              <w:spacing w:line="240" w:lineRule="auto"/>
              <w:jc w:val="center"/>
              <w:rPr>
                <w:szCs w:val="21"/>
              </w:rPr>
            </w:pPr>
            <w:r>
              <w:rPr>
                <w:rFonts w:hint="eastAsia"/>
                <w:szCs w:val="21"/>
              </w:rPr>
              <w:t>报价要求</w:t>
            </w:r>
          </w:p>
        </w:tc>
        <w:tc>
          <w:tcPr>
            <w:tcW w:w="3383" w:type="pct"/>
            <w:vAlign w:val="center"/>
          </w:tcPr>
          <w:p>
            <w:pPr>
              <w:widowControl w:val="0"/>
              <w:spacing w:line="240" w:lineRule="auto"/>
              <w:rPr>
                <w:szCs w:val="21"/>
              </w:rPr>
            </w:pPr>
            <w:r>
              <w:rPr>
                <w:rFonts w:hint="eastAsia"/>
                <w:szCs w:val="21"/>
              </w:rPr>
              <w:t>3.1项目预算金额：人民币</w:t>
            </w:r>
            <w:r>
              <w:rPr>
                <w:rFonts w:hint="eastAsia"/>
                <w:szCs w:val="21"/>
                <w:u w:val="single"/>
              </w:rPr>
              <w:t>487.351000万</w:t>
            </w:r>
            <w:r>
              <w:rPr>
                <w:rFonts w:hint="eastAsia"/>
                <w:szCs w:val="21"/>
              </w:rPr>
              <w:t>元；</w:t>
            </w:r>
          </w:p>
          <w:p>
            <w:pPr>
              <w:widowControl w:val="0"/>
              <w:spacing w:line="240" w:lineRule="auto"/>
              <w:rPr>
                <w:szCs w:val="21"/>
              </w:rPr>
            </w:pPr>
            <w:r>
              <w:rPr>
                <w:rFonts w:hint="eastAsia"/>
                <w:szCs w:val="21"/>
              </w:rPr>
              <w:t>本项目为人民币报价。参评报价以人民币为结算单位。报价中必须包含货物费、运输费、装卸费、保险费、安装费、零配件费、技术服务费（含培训费、调试费）、税费、验收费、不可预见费等完成本项目内容所需的一切相关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6" w:type="pct"/>
            <w:vMerge w:val="restart"/>
            <w:vAlign w:val="center"/>
          </w:tcPr>
          <w:p>
            <w:pPr>
              <w:widowControl w:val="0"/>
              <w:spacing w:line="240" w:lineRule="auto"/>
              <w:jc w:val="center"/>
              <w:rPr>
                <w:szCs w:val="21"/>
              </w:rPr>
            </w:pPr>
            <w:r>
              <w:rPr>
                <w:rFonts w:hint="eastAsia"/>
                <w:szCs w:val="21"/>
              </w:rPr>
              <w:t>4</w:t>
            </w:r>
          </w:p>
        </w:tc>
        <w:tc>
          <w:tcPr>
            <w:tcW w:w="909" w:type="pct"/>
            <w:vMerge w:val="restart"/>
            <w:vAlign w:val="center"/>
          </w:tcPr>
          <w:p>
            <w:pPr>
              <w:widowControl w:val="0"/>
              <w:spacing w:line="240" w:lineRule="auto"/>
              <w:jc w:val="center"/>
              <w:rPr>
                <w:szCs w:val="21"/>
              </w:rPr>
            </w:pPr>
            <w:r>
              <w:rPr>
                <w:rFonts w:hint="eastAsia"/>
                <w:szCs w:val="21"/>
              </w:rPr>
              <w:t>关于验收</w:t>
            </w:r>
          </w:p>
        </w:tc>
        <w:tc>
          <w:tcPr>
            <w:tcW w:w="3383" w:type="pct"/>
            <w:vAlign w:val="center"/>
          </w:tcPr>
          <w:p>
            <w:pPr>
              <w:widowControl w:val="0"/>
              <w:spacing w:line="240" w:lineRule="auto"/>
              <w:rPr>
                <w:bCs/>
                <w:szCs w:val="21"/>
              </w:rPr>
            </w:pPr>
            <w:r>
              <w:rPr>
                <w:rFonts w:hint="eastAsia"/>
                <w:bCs/>
                <w:color w:val="000000"/>
                <w:szCs w:val="21"/>
              </w:rPr>
              <w:t>4.1投标人货物经过采购人组织的验收后，签署验收报告，产品保修期自验收合格之日起算，由投标人提供产品保修文件。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6" w:type="pct"/>
            <w:vMerge w:val="continue"/>
            <w:vAlign w:val="center"/>
          </w:tcPr>
          <w:p>
            <w:pPr>
              <w:widowControl w:val="0"/>
              <w:spacing w:line="240" w:lineRule="auto"/>
              <w:jc w:val="center"/>
              <w:rPr>
                <w:szCs w:val="21"/>
              </w:rPr>
            </w:pPr>
          </w:p>
        </w:tc>
        <w:tc>
          <w:tcPr>
            <w:tcW w:w="909" w:type="pct"/>
            <w:vMerge w:val="continue"/>
            <w:vAlign w:val="center"/>
          </w:tcPr>
          <w:p>
            <w:pPr>
              <w:widowControl w:val="0"/>
              <w:spacing w:line="240" w:lineRule="auto"/>
              <w:jc w:val="center"/>
              <w:rPr>
                <w:szCs w:val="21"/>
              </w:rPr>
            </w:pPr>
          </w:p>
        </w:tc>
        <w:tc>
          <w:tcPr>
            <w:tcW w:w="3383" w:type="pct"/>
            <w:vAlign w:val="center"/>
          </w:tcPr>
          <w:p>
            <w:pPr>
              <w:widowControl w:val="0"/>
              <w:spacing w:line="240" w:lineRule="auto"/>
              <w:rPr>
                <w:bCs/>
                <w:color w:val="000000"/>
                <w:szCs w:val="21"/>
              </w:rPr>
            </w:pPr>
            <w:r>
              <w:rPr>
                <w:rFonts w:hint="eastAsia"/>
                <w:bCs/>
                <w:color w:val="000000"/>
                <w:szCs w:val="21"/>
              </w:rPr>
              <w:t>4.2货物为原厂制造商制造的全新产品，整机无污染，无侵权行为、表面无划损、无任何缺陷隐患，在中国境内可依常规安全合法使用；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6" w:type="pct"/>
            <w:vMerge w:val="continue"/>
            <w:vAlign w:val="center"/>
          </w:tcPr>
          <w:p>
            <w:pPr>
              <w:widowControl w:val="0"/>
              <w:spacing w:line="240" w:lineRule="auto"/>
              <w:jc w:val="center"/>
              <w:rPr>
                <w:szCs w:val="21"/>
              </w:rPr>
            </w:pPr>
          </w:p>
        </w:tc>
        <w:tc>
          <w:tcPr>
            <w:tcW w:w="909" w:type="pct"/>
            <w:vMerge w:val="continue"/>
            <w:vAlign w:val="center"/>
          </w:tcPr>
          <w:p>
            <w:pPr>
              <w:widowControl w:val="0"/>
              <w:spacing w:line="240" w:lineRule="auto"/>
              <w:jc w:val="center"/>
              <w:rPr>
                <w:szCs w:val="21"/>
              </w:rPr>
            </w:pPr>
          </w:p>
        </w:tc>
        <w:tc>
          <w:tcPr>
            <w:tcW w:w="3383" w:type="pct"/>
            <w:vAlign w:val="center"/>
          </w:tcPr>
          <w:p>
            <w:pPr>
              <w:widowControl w:val="0"/>
              <w:spacing w:line="240" w:lineRule="auto"/>
              <w:rPr>
                <w:bCs/>
                <w:color w:val="000000"/>
                <w:szCs w:val="21"/>
              </w:rPr>
            </w:pPr>
            <w:r>
              <w:rPr>
                <w:rFonts w:hint="eastAsia"/>
                <w:bCs/>
                <w:color w:val="000000"/>
                <w:szCs w:val="21"/>
              </w:rPr>
              <w:t>4.3中标人应将关键主机设备的用户手册、保修手册、有关单证资料及配备件、随机工具等交付给采购人，使用操作及安全须知等重要资料应附有中文说明；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6" w:type="pct"/>
            <w:vMerge w:val="continue"/>
            <w:vAlign w:val="center"/>
          </w:tcPr>
          <w:p>
            <w:pPr>
              <w:widowControl w:val="0"/>
              <w:spacing w:line="240" w:lineRule="auto"/>
              <w:jc w:val="center"/>
              <w:rPr>
                <w:szCs w:val="21"/>
              </w:rPr>
            </w:pPr>
          </w:p>
        </w:tc>
        <w:tc>
          <w:tcPr>
            <w:tcW w:w="909" w:type="pct"/>
            <w:vMerge w:val="continue"/>
            <w:vAlign w:val="center"/>
          </w:tcPr>
          <w:p>
            <w:pPr>
              <w:widowControl w:val="0"/>
              <w:spacing w:line="240" w:lineRule="auto"/>
              <w:jc w:val="center"/>
              <w:rPr>
                <w:szCs w:val="21"/>
              </w:rPr>
            </w:pPr>
          </w:p>
        </w:tc>
        <w:tc>
          <w:tcPr>
            <w:tcW w:w="3383" w:type="pct"/>
            <w:vAlign w:val="center"/>
          </w:tcPr>
          <w:p>
            <w:pPr>
              <w:widowControl w:val="0"/>
              <w:spacing w:line="240" w:lineRule="auto"/>
              <w:rPr>
                <w:bCs/>
                <w:color w:val="000000"/>
                <w:szCs w:val="21"/>
              </w:rPr>
            </w:pPr>
            <w:r>
              <w:rPr>
                <w:rFonts w:hint="eastAsia"/>
                <w:bCs/>
                <w:color w:val="000000"/>
                <w:szCs w:val="21"/>
              </w:rPr>
              <w:t>4.4采购人按中标人提供的供货清单、检验产品合格证、使用说明书和其它的技术资料，检查产品及附件是否完整无损，技术资料是否与采购人的要求相符。如有损坏、缺件等情况，成交人自行负责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6" w:type="pct"/>
            <w:vMerge w:val="continue"/>
            <w:vAlign w:val="center"/>
          </w:tcPr>
          <w:p>
            <w:pPr>
              <w:widowControl w:val="0"/>
              <w:spacing w:line="240" w:lineRule="auto"/>
              <w:jc w:val="center"/>
              <w:rPr>
                <w:szCs w:val="21"/>
              </w:rPr>
            </w:pPr>
          </w:p>
        </w:tc>
        <w:tc>
          <w:tcPr>
            <w:tcW w:w="909" w:type="pct"/>
            <w:vMerge w:val="continue"/>
          </w:tcPr>
          <w:p>
            <w:pPr>
              <w:widowControl w:val="0"/>
              <w:spacing w:line="240" w:lineRule="auto"/>
              <w:rPr>
                <w:b/>
                <w:szCs w:val="21"/>
              </w:rPr>
            </w:pPr>
          </w:p>
        </w:tc>
        <w:tc>
          <w:tcPr>
            <w:tcW w:w="3383" w:type="pct"/>
            <w:vAlign w:val="center"/>
          </w:tcPr>
          <w:p>
            <w:pPr>
              <w:widowControl w:val="0"/>
              <w:spacing w:line="240" w:lineRule="auto"/>
              <w:rPr>
                <w:bCs/>
                <w:color w:val="000000"/>
                <w:szCs w:val="21"/>
              </w:rPr>
            </w:pPr>
            <w:r>
              <w:rPr>
                <w:rFonts w:hint="eastAsia"/>
                <w:bCs/>
                <w:color w:val="000000"/>
                <w:szCs w:val="21"/>
              </w:rPr>
              <w:t>4.5当满足以下条件时，采购人才向中标人签发货物验收报告：</w:t>
            </w:r>
          </w:p>
          <w:p>
            <w:pPr>
              <w:widowControl w:val="0"/>
              <w:tabs>
                <w:tab w:val="left" w:pos="1260"/>
                <w:tab w:val="clear" w:pos="426"/>
              </w:tabs>
              <w:spacing w:line="240" w:lineRule="auto"/>
              <w:rPr>
                <w:bCs/>
                <w:color w:val="000000"/>
                <w:szCs w:val="21"/>
              </w:rPr>
            </w:pPr>
            <w:r>
              <w:rPr>
                <w:rFonts w:hint="eastAsia"/>
                <w:bCs/>
                <w:color w:val="000000"/>
                <w:szCs w:val="21"/>
              </w:rPr>
              <w:t>a、中标人已按照合同规定提供了全部产品及完整的技术资料。</w:t>
            </w:r>
          </w:p>
          <w:p>
            <w:pPr>
              <w:widowControl w:val="0"/>
              <w:tabs>
                <w:tab w:val="left" w:pos="1260"/>
                <w:tab w:val="clear" w:pos="426"/>
              </w:tabs>
              <w:spacing w:line="240" w:lineRule="auto"/>
              <w:rPr>
                <w:bCs/>
                <w:color w:val="000000"/>
                <w:szCs w:val="21"/>
              </w:rPr>
            </w:pPr>
            <w:r>
              <w:rPr>
                <w:rFonts w:hint="eastAsia"/>
                <w:bCs/>
                <w:color w:val="000000"/>
                <w:szCs w:val="21"/>
              </w:rPr>
              <w:t>b、货物符合招标文件技术规格书的要求，性能满足要求。</w:t>
            </w:r>
          </w:p>
          <w:p>
            <w:pPr>
              <w:widowControl w:val="0"/>
              <w:tabs>
                <w:tab w:val="left" w:pos="1260"/>
                <w:tab w:val="clear" w:pos="426"/>
              </w:tabs>
              <w:spacing w:line="240" w:lineRule="auto"/>
              <w:rPr>
                <w:bCs/>
                <w:szCs w:val="21"/>
              </w:rPr>
            </w:pPr>
            <w:r>
              <w:rPr>
                <w:rFonts w:hint="eastAsia"/>
                <w:bCs/>
                <w:color w:val="000000"/>
                <w:szCs w:val="21"/>
              </w:rPr>
              <w:t>c、货物具备产品合格证。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6" w:type="pct"/>
            <w:vAlign w:val="center"/>
          </w:tcPr>
          <w:p>
            <w:pPr>
              <w:widowControl w:val="0"/>
              <w:spacing w:line="240" w:lineRule="auto"/>
              <w:jc w:val="center"/>
              <w:rPr>
                <w:szCs w:val="21"/>
              </w:rPr>
            </w:pPr>
            <w:r>
              <w:rPr>
                <w:rFonts w:hint="eastAsia"/>
                <w:szCs w:val="21"/>
              </w:rPr>
              <w:t>5</w:t>
            </w:r>
          </w:p>
        </w:tc>
        <w:tc>
          <w:tcPr>
            <w:tcW w:w="909" w:type="pct"/>
            <w:vAlign w:val="center"/>
          </w:tcPr>
          <w:p>
            <w:pPr>
              <w:widowControl w:val="0"/>
              <w:spacing w:line="240" w:lineRule="auto"/>
              <w:jc w:val="center"/>
              <w:rPr>
                <w:b/>
                <w:szCs w:val="21"/>
              </w:rPr>
            </w:pPr>
            <w:r>
              <w:rPr>
                <w:rFonts w:hint="eastAsia"/>
                <w:szCs w:val="21"/>
              </w:rPr>
              <w:t>付款方式</w:t>
            </w:r>
          </w:p>
        </w:tc>
        <w:tc>
          <w:tcPr>
            <w:tcW w:w="3383" w:type="pct"/>
            <w:vAlign w:val="center"/>
          </w:tcPr>
          <w:p>
            <w:pPr>
              <w:widowControl w:val="0"/>
              <w:spacing w:line="240" w:lineRule="auto"/>
              <w:rPr>
                <w:bCs/>
                <w:szCs w:val="21"/>
              </w:rPr>
            </w:pPr>
            <w:r>
              <w:rPr>
                <w:rFonts w:hint="eastAsia"/>
                <w:bCs/>
                <w:szCs w:val="21"/>
              </w:rPr>
              <w:t>5.1（1）合同签订生效后，采购人在收到等额发票后60个工作日内，采购人需向中标人支付合同总金额的30%。</w:t>
            </w:r>
          </w:p>
          <w:p>
            <w:pPr>
              <w:widowControl w:val="0"/>
              <w:spacing w:line="240" w:lineRule="auto"/>
              <w:rPr>
                <w:bCs/>
                <w:szCs w:val="21"/>
              </w:rPr>
            </w:pPr>
            <w:r>
              <w:rPr>
                <w:rFonts w:hint="eastAsia"/>
                <w:bCs/>
                <w:szCs w:val="21"/>
              </w:rPr>
              <w:t>（2）货到安装验收合格后，采购人在收到等额发票后，采购人向中标人支付合同总金额的70%。</w:t>
            </w:r>
          </w:p>
          <w:p>
            <w:pPr>
              <w:widowControl w:val="0"/>
              <w:spacing w:line="240" w:lineRule="auto"/>
              <w:rPr>
                <w:bCs/>
                <w:szCs w:val="21"/>
              </w:rPr>
            </w:pPr>
            <w:r>
              <w:rPr>
                <w:rFonts w:hint="eastAsia"/>
                <w:bCs/>
                <w:szCs w:val="21"/>
              </w:rPr>
              <w:t>（3）中标人收款时必须提供采购人收货证明、验收合格证明（加盖采购人公章）和中标人开具的正规等额发票。因采购人使用的是财政资金，采购人在前款规定的付款时间为向政府采购支付部门提出办理财政支付申请手续的时间（不含政府采购支付部门审核的时间），在规定时间内提出支付申请手续后即视为采购人已经按期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6" w:type="pct"/>
            <w:vMerge w:val="restart"/>
            <w:vAlign w:val="center"/>
          </w:tcPr>
          <w:p>
            <w:pPr>
              <w:widowControl w:val="0"/>
              <w:spacing w:line="240" w:lineRule="auto"/>
              <w:jc w:val="center"/>
              <w:rPr>
                <w:szCs w:val="21"/>
              </w:rPr>
            </w:pPr>
            <w:r>
              <w:rPr>
                <w:rFonts w:hint="eastAsia"/>
                <w:szCs w:val="21"/>
              </w:rPr>
              <w:t>6</w:t>
            </w:r>
          </w:p>
        </w:tc>
        <w:tc>
          <w:tcPr>
            <w:tcW w:w="909" w:type="pct"/>
            <w:vMerge w:val="restart"/>
            <w:vAlign w:val="center"/>
          </w:tcPr>
          <w:p>
            <w:pPr>
              <w:widowControl w:val="0"/>
              <w:spacing w:line="240" w:lineRule="auto"/>
              <w:jc w:val="center"/>
              <w:rPr>
                <w:b/>
                <w:szCs w:val="21"/>
              </w:rPr>
            </w:pPr>
            <w:r>
              <w:rPr>
                <w:rFonts w:hint="eastAsia"/>
                <w:szCs w:val="21"/>
              </w:rPr>
              <w:t>违约</w:t>
            </w:r>
          </w:p>
        </w:tc>
        <w:tc>
          <w:tcPr>
            <w:tcW w:w="3383" w:type="pct"/>
          </w:tcPr>
          <w:p>
            <w:pPr>
              <w:widowControl w:val="0"/>
              <w:spacing w:line="240" w:lineRule="auto"/>
              <w:rPr>
                <w:szCs w:val="21"/>
              </w:rPr>
            </w:pPr>
            <w:r>
              <w:rPr>
                <w:rFonts w:hint="eastAsia"/>
                <w:color w:val="000000"/>
                <w:szCs w:val="21"/>
              </w:rPr>
              <w:t>6.1中标人不能交货的，</w:t>
            </w:r>
            <w:r>
              <w:rPr>
                <w:rFonts w:hint="eastAsia"/>
                <w:color w:val="000000"/>
                <w:szCs w:val="21"/>
                <w:lang w:eastAsia="zh-Hans"/>
              </w:rPr>
              <w:t>或交付货物提供的配套服务不符合合同约定及投标承诺的，均</w:t>
            </w:r>
            <w:r>
              <w:rPr>
                <w:rFonts w:hint="eastAsia"/>
                <w:color w:val="000000"/>
                <w:szCs w:val="21"/>
              </w:rPr>
              <w:t>需偿付</w:t>
            </w:r>
            <w:r>
              <w:rPr>
                <w:rFonts w:hint="eastAsia"/>
                <w:szCs w:val="21"/>
              </w:rPr>
              <w:t>货款的</w:t>
            </w:r>
            <w:r>
              <w:rPr>
                <w:rFonts w:hint="eastAsia"/>
                <w:szCs w:val="21"/>
                <w:u w:val="single"/>
              </w:rPr>
              <w:t>20%</w:t>
            </w:r>
            <w:r>
              <w:rPr>
                <w:rFonts w:hint="eastAsia"/>
                <w:color w:val="000000"/>
                <w:szCs w:val="21"/>
              </w:rPr>
              <w:t>的违约金并按主管部门相关规定处理。</w:t>
            </w:r>
            <w:r>
              <w:rPr>
                <w:rFonts w:hint="eastAsia"/>
                <w:color w:val="000000"/>
                <w:szCs w:val="21"/>
                <w:lang w:eastAsia="zh-Hans"/>
              </w:rPr>
              <w:t>不足以弥补采购人损失的应当另行补足。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6" w:type="pct"/>
            <w:vMerge w:val="continue"/>
            <w:vAlign w:val="center"/>
          </w:tcPr>
          <w:p>
            <w:pPr>
              <w:widowControl w:val="0"/>
              <w:spacing w:line="240" w:lineRule="auto"/>
              <w:jc w:val="center"/>
              <w:rPr>
                <w:szCs w:val="21"/>
              </w:rPr>
            </w:pPr>
          </w:p>
        </w:tc>
        <w:tc>
          <w:tcPr>
            <w:tcW w:w="909" w:type="pct"/>
            <w:vMerge w:val="continue"/>
            <w:vAlign w:val="center"/>
          </w:tcPr>
          <w:p>
            <w:pPr>
              <w:widowControl w:val="0"/>
              <w:spacing w:line="240" w:lineRule="auto"/>
              <w:jc w:val="center"/>
              <w:rPr>
                <w:szCs w:val="21"/>
              </w:rPr>
            </w:pPr>
          </w:p>
        </w:tc>
        <w:tc>
          <w:tcPr>
            <w:tcW w:w="3383" w:type="pct"/>
          </w:tcPr>
          <w:p>
            <w:pPr>
              <w:widowControl w:val="0"/>
              <w:spacing w:line="240" w:lineRule="auto"/>
              <w:rPr>
                <w:szCs w:val="21"/>
              </w:rPr>
            </w:pPr>
            <w:r>
              <w:rPr>
                <w:rFonts w:hint="eastAsia"/>
                <w:color w:val="000000"/>
                <w:szCs w:val="21"/>
              </w:rPr>
              <w:t>6.2中标人所交付产品、工程或服务不符合其投标承诺的，或在投标阶段为了中标而盲目虚假承诺、低价恶性竞争，在履约阶段则通过偷工减料、以次充好而获取利润的，按主管部门相关规定处理。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6" w:type="pct"/>
            <w:vMerge w:val="restart"/>
            <w:vAlign w:val="center"/>
          </w:tcPr>
          <w:p>
            <w:pPr>
              <w:widowControl w:val="0"/>
              <w:spacing w:line="240" w:lineRule="auto"/>
              <w:jc w:val="center"/>
              <w:rPr>
                <w:szCs w:val="21"/>
              </w:rPr>
            </w:pPr>
            <w:r>
              <w:rPr>
                <w:rFonts w:hint="eastAsia"/>
                <w:szCs w:val="21"/>
              </w:rPr>
              <w:t>7</w:t>
            </w:r>
          </w:p>
        </w:tc>
        <w:tc>
          <w:tcPr>
            <w:tcW w:w="909" w:type="pct"/>
            <w:vMerge w:val="restart"/>
            <w:vAlign w:val="center"/>
          </w:tcPr>
          <w:p>
            <w:pPr>
              <w:widowControl w:val="0"/>
              <w:spacing w:line="240" w:lineRule="auto"/>
              <w:jc w:val="center"/>
              <w:rPr>
                <w:szCs w:val="21"/>
              </w:rPr>
            </w:pPr>
            <w:r>
              <w:rPr>
                <w:rFonts w:hint="eastAsia"/>
                <w:szCs w:val="21"/>
              </w:rPr>
              <w:t>运输、保管及保险</w:t>
            </w:r>
          </w:p>
        </w:tc>
        <w:tc>
          <w:tcPr>
            <w:tcW w:w="3383" w:type="pct"/>
          </w:tcPr>
          <w:p>
            <w:pPr>
              <w:widowControl w:val="0"/>
              <w:spacing w:line="240" w:lineRule="auto"/>
              <w:rPr>
                <w:color w:val="000000"/>
                <w:szCs w:val="21"/>
              </w:rPr>
            </w:pPr>
            <w:r>
              <w:rPr>
                <w:rFonts w:hint="eastAsia"/>
                <w:color w:val="000000"/>
                <w:szCs w:val="21"/>
              </w:rPr>
              <w:t>7.1中标人负责货物到现场过程中的全部运输及费用，包括装卸车、货物运至采购人指定现场的搬运费用等。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6" w:type="pct"/>
            <w:vMerge w:val="continue"/>
            <w:vAlign w:val="center"/>
          </w:tcPr>
          <w:p>
            <w:pPr>
              <w:widowControl w:val="0"/>
              <w:spacing w:line="240" w:lineRule="auto"/>
              <w:jc w:val="center"/>
              <w:rPr>
                <w:szCs w:val="21"/>
              </w:rPr>
            </w:pPr>
          </w:p>
        </w:tc>
        <w:tc>
          <w:tcPr>
            <w:tcW w:w="909" w:type="pct"/>
            <w:vMerge w:val="continue"/>
            <w:vAlign w:val="center"/>
          </w:tcPr>
          <w:p>
            <w:pPr>
              <w:widowControl w:val="0"/>
              <w:spacing w:line="240" w:lineRule="auto"/>
              <w:jc w:val="center"/>
              <w:rPr>
                <w:szCs w:val="21"/>
              </w:rPr>
            </w:pPr>
          </w:p>
        </w:tc>
        <w:tc>
          <w:tcPr>
            <w:tcW w:w="3383" w:type="pct"/>
          </w:tcPr>
          <w:p>
            <w:pPr>
              <w:widowControl w:val="0"/>
              <w:spacing w:line="240" w:lineRule="auto"/>
              <w:rPr>
                <w:color w:val="000000"/>
                <w:szCs w:val="21"/>
              </w:rPr>
            </w:pPr>
            <w:r>
              <w:rPr>
                <w:rFonts w:hint="eastAsia"/>
                <w:color w:val="000000"/>
                <w:szCs w:val="21"/>
              </w:rPr>
              <w:t>7.2货物保管由中标人负责，直至安装、调试和验收完毕。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6" w:type="pct"/>
            <w:vMerge w:val="continue"/>
            <w:vAlign w:val="center"/>
          </w:tcPr>
          <w:p>
            <w:pPr>
              <w:widowControl w:val="0"/>
              <w:spacing w:line="240" w:lineRule="auto"/>
              <w:jc w:val="center"/>
              <w:rPr>
                <w:szCs w:val="21"/>
              </w:rPr>
            </w:pPr>
          </w:p>
        </w:tc>
        <w:tc>
          <w:tcPr>
            <w:tcW w:w="909" w:type="pct"/>
            <w:vMerge w:val="continue"/>
            <w:vAlign w:val="center"/>
          </w:tcPr>
          <w:p>
            <w:pPr>
              <w:widowControl w:val="0"/>
              <w:spacing w:line="240" w:lineRule="auto"/>
              <w:jc w:val="center"/>
              <w:rPr>
                <w:szCs w:val="21"/>
              </w:rPr>
            </w:pPr>
          </w:p>
        </w:tc>
        <w:tc>
          <w:tcPr>
            <w:tcW w:w="3383" w:type="pct"/>
          </w:tcPr>
          <w:p>
            <w:pPr>
              <w:widowControl w:val="0"/>
              <w:spacing w:line="240" w:lineRule="auto"/>
              <w:rPr>
                <w:color w:val="000000"/>
                <w:szCs w:val="21"/>
              </w:rPr>
            </w:pPr>
            <w:r>
              <w:rPr>
                <w:rFonts w:hint="eastAsia"/>
                <w:color w:val="000000"/>
                <w:szCs w:val="21"/>
              </w:rPr>
              <w:t>7.3货物在安装调试验收合格前的保险由中标人负责。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6" w:type="pct"/>
            <w:vMerge w:val="continue"/>
            <w:vAlign w:val="center"/>
          </w:tcPr>
          <w:p>
            <w:pPr>
              <w:widowControl w:val="0"/>
              <w:spacing w:line="240" w:lineRule="auto"/>
              <w:jc w:val="center"/>
              <w:rPr>
                <w:szCs w:val="21"/>
              </w:rPr>
            </w:pPr>
          </w:p>
        </w:tc>
        <w:tc>
          <w:tcPr>
            <w:tcW w:w="909" w:type="pct"/>
            <w:vMerge w:val="continue"/>
            <w:vAlign w:val="center"/>
          </w:tcPr>
          <w:p>
            <w:pPr>
              <w:widowControl w:val="0"/>
              <w:spacing w:line="240" w:lineRule="auto"/>
              <w:jc w:val="center"/>
              <w:rPr>
                <w:szCs w:val="21"/>
              </w:rPr>
            </w:pPr>
          </w:p>
        </w:tc>
        <w:tc>
          <w:tcPr>
            <w:tcW w:w="3383" w:type="pct"/>
          </w:tcPr>
          <w:p>
            <w:pPr>
              <w:widowControl w:val="0"/>
              <w:spacing w:line="240" w:lineRule="auto"/>
              <w:rPr>
                <w:color w:val="000000"/>
                <w:szCs w:val="21"/>
              </w:rPr>
            </w:pPr>
            <w:r>
              <w:rPr>
                <w:rFonts w:hint="eastAsia"/>
                <w:color w:val="000000"/>
                <w:szCs w:val="21"/>
              </w:rPr>
              <w:t>7.4中标人负责其派出的现场安装调试人员人身意外保险。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6" w:type="pct"/>
            <w:vMerge w:val="restart"/>
            <w:vAlign w:val="center"/>
          </w:tcPr>
          <w:p>
            <w:pPr>
              <w:widowControl w:val="0"/>
              <w:spacing w:line="240" w:lineRule="auto"/>
              <w:jc w:val="center"/>
              <w:rPr>
                <w:szCs w:val="21"/>
              </w:rPr>
            </w:pPr>
            <w:r>
              <w:rPr>
                <w:rFonts w:hint="eastAsia"/>
                <w:szCs w:val="21"/>
              </w:rPr>
              <w:t>8</w:t>
            </w:r>
          </w:p>
        </w:tc>
        <w:tc>
          <w:tcPr>
            <w:tcW w:w="909" w:type="pct"/>
            <w:vMerge w:val="restart"/>
            <w:vAlign w:val="center"/>
          </w:tcPr>
          <w:p>
            <w:pPr>
              <w:widowControl w:val="0"/>
              <w:spacing w:line="240" w:lineRule="auto"/>
              <w:jc w:val="center"/>
              <w:rPr>
                <w:szCs w:val="21"/>
              </w:rPr>
            </w:pPr>
            <w:r>
              <w:rPr>
                <w:rFonts w:hint="eastAsia"/>
                <w:szCs w:val="21"/>
              </w:rPr>
              <w:t>项目调试要求</w:t>
            </w:r>
          </w:p>
        </w:tc>
        <w:tc>
          <w:tcPr>
            <w:tcW w:w="3383" w:type="pct"/>
          </w:tcPr>
          <w:p>
            <w:pPr>
              <w:widowControl w:val="0"/>
              <w:spacing w:line="240" w:lineRule="auto"/>
              <w:rPr>
                <w:color w:val="000000"/>
                <w:szCs w:val="21"/>
              </w:rPr>
            </w:pPr>
            <w:r>
              <w:rPr>
                <w:rFonts w:hint="eastAsia"/>
                <w:color w:val="000000"/>
                <w:szCs w:val="21"/>
              </w:rPr>
              <w:t>8.1中标人负责在本项目内容的安装地点进行安装调试；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6" w:type="pct"/>
            <w:vMerge w:val="continue"/>
            <w:vAlign w:val="center"/>
          </w:tcPr>
          <w:p>
            <w:pPr>
              <w:widowControl w:val="0"/>
              <w:spacing w:line="240" w:lineRule="auto"/>
              <w:jc w:val="center"/>
              <w:rPr>
                <w:szCs w:val="21"/>
              </w:rPr>
            </w:pPr>
          </w:p>
        </w:tc>
        <w:tc>
          <w:tcPr>
            <w:tcW w:w="909" w:type="pct"/>
            <w:vMerge w:val="continue"/>
            <w:vAlign w:val="center"/>
          </w:tcPr>
          <w:p>
            <w:pPr>
              <w:widowControl w:val="0"/>
              <w:spacing w:line="240" w:lineRule="auto"/>
              <w:jc w:val="center"/>
              <w:rPr>
                <w:szCs w:val="21"/>
              </w:rPr>
            </w:pPr>
          </w:p>
        </w:tc>
        <w:tc>
          <w:tcPr>
            <w:tcW w:w="3383" w:type="pct"/>
          </w:tcPr>
          <w:p>
            <w:pPr>
              <w:widowControl w:val="0"/>
              <w:spacing w:line="240" w:lineRule="auto"/>
              <w:rPr>
                <w:color w:val="000000"/>
                <w:szCs w:val="21"/>
              </w:rPr>
            </w:pPr>
            <w:r>
              <w:rPr>
                <w:rFonts w:hint="eastAsia"/>
                <w:color w:val="000000"/>
                <w:szCs w:val="21"/>
              </w:rPr>
              <w:t>8.2安装所需工具设施物料由中标人自备、自费运到现场，完工后自费搬走；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6" w:type="pct"/>
            <w:vMerge w:val="continue"/>
            <w:vAlign w:val="center"/>
          </w:tcPr>
          <w:p>
            <w:pPr>
              <w:widowControl w:val="0"/>
              <w:spacing w:line="240" w:lineRule="auto"/>
              <w:jc w:val="center"/>
              <w:rPr>
                <w:szCs w:val="21"/>
              </w:rPr>
            </w:pPr>
          </w:p>
        </w:tc>
        <w:tc>
          <w:tcPr>
            <w:tcW w:w="909" w:type="pct"/>
            <w:vMerge w:val="continue"/>
            <w:vAlign w:val="center"/>
          </w:tcPr>
          <w:p>
            <w:pPr>
              <w:widowControl w:val="0"/>
              <w:spacing w:line="240" w:lineRule="auto"/>
              <w:jc w:val="center"/>
              <w:rPr>
                <w:szCs w:val="21"/>
              </w:rPr>
            </w:pPr>
          </w:p>
        </w:tc>
        <w:tc>
          <w:tcPr>
            <w:tcW w:w="3383" w:type="pct"/>
          </w:tcPr>
          <w:p>
            <w:pPr>
              <w:widowControl w:val="0"/>
              <w:spacing w:line="240" w:lineRule="auto"/>
              <w:rPr>
                <w:color w:val="000000"/>
                <w:szCs w:val="21"/>
              </w:rPr>
            </w:pPr>
            <w:r>
              <w:rPr>
                <w:rFonts w:hint="eastAsia"/>
                <w:color w:val="000000"/>
                <w:szCs w:val="21"/>
              </w:rPr>
              <w:t>8.3中标人必须提供设备安装、集成及调测服务，并确保设备正常运行；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6" w:type="pct"/>
            <w:vMerge w:val="continue"/>
            <w:vAlign w:val="center"/>
          </w:tcPr>
          <w:p>
            <w:pPr>
              <w:widowControl w:val="0"/>
              <w:spacing w:line="240" w:lineRule="auto"/>
              <w:jc w:val="center"/>
              <w:rPr>
                <w:szCs w:val="21"/>
              </w:rPr>
            </w:pPr>
          </w:p>
        </w:tc>
        <w:tc>
          <w:tcPr>
            <w:tcW w:w="909" w:type="pct"/>
            <w:vMerge w:val="continue"/>
            <w:vAlign w:val="center"/>
          </w:tcPr>
          <w:p>
            <w:pPr>
              <w:widowControl w:val="0"/>
              <w:spacing w:line="240" w:lineRule="auto"/>
              <w:jc w:val="center"/>
              <w:rPr>
                <w:szCs w:val="21"/>
              </w:rPr>
            </w:pPr>
          </w:p>
        </w:tc>
        <w:tc>
          <w:tcPr>
            <w:tcW w:w="3383" w:type="pct"/>
          </w:tcPr>
          <w:p>
            <w:pPr>
              <w:widowControl w:val="0"/>
              <w:spacing w:line="240" w:lineRule="auto"/>
              <w:rPr>
                <w:color w:val="000000"/>
                <w:szCs w:val="21"/>
              </w:rPr>
            </w:pPr>
            <w:r>
              <w:rPr>
                <w:rFonts w:hint="eastAsia"/>
                <w:color w:val="000000"/>
                <w:szCs w:val="21"/>
              </w:rPr>
              <w:t>8.4中标人应设安装负责人，负责安装协调管理工作；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6" w:type="pct"/>
            <w:vMerge w:val="continue"/>
            <w:vAlign w:val="center"/>
          </w:tcPr>
          <w:p>
            <w:pPr>
              <w:widowControl w:val="0"/>
              <w:spacing w:line="240" w:lineRule="auto"/>
              <w:jc w:val="center"/>
              <w:rPr>
                <w:szCs w:val="21"/>
              </w:rPr>
            </w:pPr>
          </w:p>
        </w:tc>
        <w:tc>
          <w:tcPr>
            <w:tcW w:w="909" w:type="pct"/>
            <w:vMerge w:val="continue"/>
            <w:vAlign w:val="center"/>
          </w:tcPr>
          <w:p>
            <w:pPr>
              <w:widowControl w:val="0"/>
              <w:spacing w:line="240" w:lineRule="auto"/>
              <w:jc w:val="center"/>
              <w:rPr>
                <w:szCs w:val="21"/>
              </w:rPr>
            </w:pPr>
          </w:p>
        </w:tc>
        <w:tc>
          <w:tcPr>
            <w:tcW w:w="3383" w:type="pct"/>
          </w:tcPr>
          <w:p>
            <w:pPr>
              <w:widowControl w:val="0"/>
              <w:spacing w:line="240" w:lineRule="auto"/>
              <w:rPr>
                <w:color w:val="000000"/>
                <w:szCs w:val="21"/>
              </w:rPr>
            </w:pPr>
            <w:r>
              <w:rPr>
                <w:rFonts w:hint="eastAsia"/>
                <w:color w:val="000000"/>
                <w:szCs w:val="21"/>
              </w:rPr>
              <w:t>8.5设备的拆箱、安装、通电、调试等项工作由中标人负责，但必须在采购人指定人员的参与下进行。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6" w:type="pct"/>
            <w:vMerge w:val="continue"/>
            <w:vAlign w:val="center"/>
          </w:tcPr>
          <w:p>
            <w:pPr>
              <w:widowControl w:val="0"/>
              <w:spacing w:line="240" w:lineRule="auto"/>
              <w:jc w:val="center"/>
              <w:rPr>
                <w:szCs w:val="21"/>
              </w:rPr>
            </w:pPr>
          </w:p>
        </w:tc>
        <w:tc>
          <w:tcPr>
            <w:tcW w:w="909" w:type="pct"/>
            <w:vMerge w:val="continue"/>
            <w:vAlign w:val="center"/>
          </w:tcPr>
          <w:p>
            <w:pPr>
              <w:widowControl w:val="0"/>
              <w:spacing w:line="240" w:lineRule="auto"/>
              <w:jc w:val="center"/>
              <w:rPr>
                <w:szCs w:val="21"/>
              </w:rPr>
            </w:pPr>
          </w:p>
        </w:tc>
        <w:tc>
          <w:tcPr>
            <w:tcW w:w="3383" w:type="pct"/>
          </w:tcPr>
          <w:p>
            <w:pPr>
              <w:widowControl w:val="0"/>
              <w:spacing w:line="240" w:lineRule="auto"/>
              <w:rPr>
                <w:color w:val="000000"/>
                <w:szCs w:val="21"/>
              </w:rPr>
            </w:pPr>
            <w:r>
              <w:rPr>
                <w:rFonts w:hint="eastAsia"/>
                <w:color w:val="000000"/>
                <w:szCs w:val="21"/>
              </w:rPr>
              <w:t>8.6调试：按国家相关验收规范进行。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6" w:type="pct"/>
            <w:vAlign w:val="center"/>
          </w:tcPr>
          <w:p>
            <w:pPr>
              <w:widowControl w:val="0"/>
              <w:spacing w:line="240" w:lineRule="auto"/>
              <w:jc w:val="center"/>
              <w:rPr>
                <w:szCs w:val="21"/>
              </w:rPr>
            </w:pPr>
            <w:r>
              <w:rPr>
                <w:rFonts w:hint="eastAsia"/>
                <w:szCs w:val="21"/>
              </w:rPr>
              <w:t>9</w:t>
            </w:r>
          </w:p>
        </w:tc>
        <w:tc>
          <w:tcPr>
            <w:tcW w:w="909" w:type="pct"/>
            <w:vAlign w:val="center"/>
          </w:tcPr>
          <w:p>
            <w:pPr>
              <w:widowControl w:val="0"/>
              <w:spacing w:line="240" w:lineRule="auto"/>
              <w:jc w:val="center"/>
              <w:rPr>
                <w:szCs w:val="21"/>
              </w:rPr>
            </w:pPr>
            <w:r>
              <w:rPr>
                <w:rFonts w:hint="eastAsia"/>
                <w:szCs w:val="21"/>
              </w:rPr>
              <w:t>其他要求</w:t>
            </w:r>
          </w:p>
        </w:tc>
        <w:tc>
          <w:tcPr>
            <w:tcW w:w="3383" w:type="pct"/>
          </w:tcPr>
          <w:p>
            <w:pPr>
              <w:widowControl w:val="0"/>
              <w:spacing w:line="240" w:lineRule="auto"/>
              <w:rPr>
                <w:color w:val="000000"/>
                <w:szCs w:val="21"/>
              </w:rPr>
            </w:pPr>
            <w:r>
              <w:rPr>
                <w:rFonts w:hint="eastAsia"/>
                <w:color w:val="000000"/>
                <w:szCs w:val="21"/>
              </w:rPr>
              <w:t>9.1除采购人在采购文件中明确外，中标人不得以任何方式转包、分包或挂靠本项目。如发现中标人以转包、分包或挂靠的方式谋取中标，采购人有权解除合同、要求赔偿</w:t>
            </w:r>
          </w:p>
        </w:tc>
      </w:tr>
    </w:tbl>
    <w:p>
      <w:pPr>
        <w:widowControl w:val="0"/>
        <w:shd w:val="clear" w:color="auto" w:fill="auto"/>
        <w:tabs>
          <w:tab w:val="clear" w:pos="426"/>
        </w:tabs>
        <w:adjustRightInd/>
        <w:snapToGrid/>
        <w:spacing w:before="231" w:beforeLines="50" w:line="300" w:lineRule="auto"/>
        <w:ind w:firstLine="422" w:firstLineChars="200"/>
        <w:rPr>
          <w:rFonts w:cs="Times New Roman"/>
          <w:kern w:val="2"/>
          <w:szCs w:val="21"/>
        </w:rPr>
      </w:pPr>
      <w:r>
        <w:rPr>
          <w:rFonts w:hint="eastAsia" w:cs="Times New Roman"/>
          <w:b/>
          <w:kern w:val="2"/>
          <w:szCs w:val="21"/>
        </w:rPr>
        <w:t>备注：商务</w:t>
      </w:r>
      <w:r>
        <w:rPr>
          <w:rFonts w:cs="Times New Roman"/>
          <w:b/>
          <w:kern w:val="2"/>
          <w:szCs w:val="21"/>
        </w:rPr>
        <w:t>要求分为一般</w:t>
      </w:r>
      <w:r>
        <w:rPr>
          <w:rFonts w:hint="eastAsia" w:cs="Times New Roman"/>
          <w:b/>
          <w:kern w:val="2"/>
          <w:szCs w:val="21"/>
        </w:rPr>
        <w:t>商务</w:t>
      </w:r>
      <w:r>
        <w:rPr>
          <w:rFonts w:cs="Times New Roman"/>
          <w:b/>
          <w:kern w:val="2"/>
          <w:szCs w:val="21"/>
        </w:rPr>
        <w:t>要求、重要</w:t>
      </w:r>
      <w:r>
        <w:rPr>
          <w:rFonts w:hint="eastAsia" w:cs="Times New Roman"/>
          <w:b/>
          <w:kern w:val="2"/>
          <w:szCs w:val="21"/>
        </w:rPr>
        <w:t>商务</w:t>
      </w:r>
      <w:r>
        <w:rPr>
          <w:rFonts w:cs="Times New Roman"/>
          <w:b/>
          <w:kern w:val="2"/>
          <w:szCs w:val="21"/>
        </w:rPr>
        <w:t>要求（以“▲”标注）和实质性</w:t>
      </w:r>
      <w:r>
        <w:rPr>
          <w:rFonts w:hint="eastAsia" w:cs="Times New Roman"/>
          <w:b/>
          <w:kern w:val="2"/>
          <w:szCs w:val="21"/>
        </w:rPr>
        <w:t>商务</w:t>
      </w:r>
      <w:r>
        <w:rPr>
          <w:rFonts w:cs="Times New Roman"/>
          <w:b/>
          <w:kern w:val="2"/>
          <w:szCs w:val="21"/>
        </w:rPr>
        <w:t>要求（以”★”标注）。一般商务要求和重要商务要求若出现不响应或负偏离，其综合评分的相关分数将予以扣减，但不作为投标无效条款。实质性商务要求（以”★”标注）若出现不响应或任何一项负偏离，将导致投标无效。</w:t>
      </w:r>
    </w:p>
    <w:p>
      <w:pPr>
        <w:shd w:val="clear" w:color="auto" w:fill="auto"/>
        <w:tabs>
          <w:tab w:val="clear" w:pos="426"/>
        </w:tabs>
        <w:adjustRightInd/>
        <w:snapToGrid/>
        <w:spacing w:line="240" w:lineRule="auto"/>
        <w:jc w:val="left"/>
        <w:rPr>
          <w:rFonts w:ascii="Times New Roman" w:hAnsi="Times New Roman" w:cs="Times New Roman"/>
          <w:kern w:val="2"/>
        </w:rPr>
      </w:pPr>
      <w:r>
        <w:br w:type="page"/>
      </w:r>
    </w:p>
    <w:p>
      <w:pPr>
        <w:numPr>
          <w:ilvl w:val="0"/>
          <w:numId w:val="3"/>
        </w:numPr>
        <w:adjustRightInd/>
        <w:snapToGrid/>
        <w:spacing w:before="280" w:after="290" w:line="377" w:lineRule="auto"/>
        <w:jc w:val="left"/>
        <w:outlineLvl w:val="2"/>
        <w:rPr>
          <w:b/>
          <w:sz w:val="24"/>
        </w:rPr>
      </w:pPr>
      <w:bookmarkStart w:id="89" w:name="_Toc27242"/>
      <w:r>
        <w:rPr>
          <w:rFonts w:hint="eastAsia"/>
          <w:b/>
          <w:sz w:val="24"/>
        </w:rPr>
        <w:t>其他</w:t>
      </w:r>
      <w:bookmarkEnd w:id="89"/>
    </w:p>
    <w:p>
      <w:pPr>
        <w:ind w:firstLine="420" w:firstLineChars="200"/>
      </w:pPr>
      <w:r>
        <w:rPr>
          <w:rFonts w:hint="eastAsia"/>
        </w:rPr>
        <w:t>1.合同类型：买卖合同</w:t>
      </w:r>
    </w:p>
    <w:p>
      <w:pPr>
        <w:ind w:firstLine="420" w:firstLineChars="200"/>
      </w:pPr>
      <w:r>
        <w:rPr>
          <w:rFonts w:hint="eastAsia"/>
        </w:rPr>
        <w:t>2.定价方式：固定总价</w:t>
      </w:r>
    </w:p>
    <w:p>
      <w:pPr>
        <w:ind w:firstLine="420" w:firstLineChars="200"/>
      </w:pPr>
      <w:r>
        <w:rPr>
          <w:rFonts w:hint="eastAsia"/>
        </w:rPr>
        <w:t>3.交付验收方案</w:t>
      </w:r>
    </w:p>
    <w:p>
      <w:pPr>
        <w:ind w:firstLine="420" w:firstLineChars="200"/>
      </w:pPr>
      <w:r>
        <w:rPr>
          <w:rFonts w:hint="eastAsia"/>
        </w:rPr>
        <w:t>（1）交付验收主体：采购人：深圳市宝安区消防救援大队</w:t>
      </w:r>
    </w:p>
    <w:p>
      <w:pPr>
        <w:ind w:firstLine="420" w:firstLineChars="200"/>
      </w:pPr>
      <w:r>
        <w:rPr>
          <w:rFonts w:hint="eastAsia"/>
        </w:rPr>
        <w:t>（2）交付验收时间：90天</w:t>
      </w:r>
    </w:p>
    <w:p>
      <w:pPr>
        <w:ind w:firstLine="420" w:firstLineChars="200"/>
      </w:pPr>
      <w:r>
        <w:rPr>
          <w:rFonts w:hint="eastAsia"/>
        </w:rPr>
        <w:t>（3）交付验收方式：供采购人核查验收，采购人通过审核验收合格后，方可验收通过。</w:t>
      </w:r>
    </w:p>
    <w:p>
      <w:pPr>
        <w:ind w:firstLine="420" w:firstLineChars="200"/>
      </w:pPr>
      <w:r>
        <w:rPr>
          <w:rFonts w:hint="eastAsia"/>
        </w:rPr>
        <w:t>（4）交付验收程序：采购人依据供应商提供的验收单据情况进行资料核查。</w:t>
      </w:r>
    </w:p>
    <w:p>
      <w:pPr>
        <w:ind w:firstLine="420" w:firstLineChars="200"/>
      </w:pPr>
      <w:r>
        <w:rPr>
          <w:rFonts w:hint="eastAsia"/>
        </w:rPr>
        <w:t>（5）交付验收内容；验收内容包括每一项技术和商务要求的履约情况，验收标准要包括所有客观、量化指标。</w:t>
      </w:r>
    </w:p>
    <w:p>
      <w:pPr>
        <w:ind w:firstLine="420" w:firstLineChars="200"/>
      </w:pPr>
      <w:r>
        <w:rPr>
          <w:rFonts w:hint="eastAsia"/>
        </w:rPr>
        <w:t>（6）交付验收验收标准：验收内容包括每一项技术和商务要求的履约情况，验收标准要包括所有客观、量化指标。</w:t>
      </w:r>
    </w:p>
    <w:p>
      <w:pPr>
        <w:ind w:firstLine="420" w:firstLineChars="200"/>
      </w:pPr>
      <w:r>
        <w:rPr>
          <w:rFonts w:hint="eastAsia"/>
        </w:rPr>
        <w:t>（7）交付验收其他事项：无</w:t>
      </w:r>
    </w:p>
    <w:p>
      <w:pPr>
        <w:ind w:firstLine="420" w:firstLineChars="200"/>
      </w:pPr>
      <w:r>
        <w:rPr>
          <w:rFonts w:hint="eastAsia"/>
        </w:rPr>
        <w:t>4.风险管控措施</w:t>
      </w:r>
    </w:p>
    <w:p>
      <w:pPr>
        <w:ind w:firstLine="420" w:firstLineChars="200"/>
      </w:pPr>
      <w:r>
        <w:rPr>
          <w:rFonts w:hint="eastAsia"/>
        </w:rPr>
        <w:t>（1）国家政策变化应对措施：调整完善采购需求。</w:t>
      </w:r>
    </w:p>
    <w:p>
      <w:pPr>
        <w:ind w:firstLine="420" w:firstLineChars="200"/>
      </w:pPr>
      <w:r>
        <w:rPr>
          <w:rFonts w:hint="eastAsia"/>
        </w:rPr>
        <w:t>（2）实施环境变化应对措施：调整完善采购需求。</w:t>
      </w:r>
    </w:p>
    <w:p>
      <w:pPr>
        <w:ind w:firstLine="420" w:firstLineChars="200"/>
      </w:pPr>
      <w:r>
        <w:rPr>
          <w:rFonts w:hint="eastAsia"/>
        </w:rPr>
        <w:t>（3）重大技术变化应对措施：调整完善采购需求。</w:t>
      </w:r>
    </w:p>
    <w:p>
      <w:pPr>
        <w:ind w:firstLine="420" w:firstLineChars="200"/>
      </w:pPr>
      <w:r>
        <w:rPr>
          <w:rFonts w:hint="eastAsia"/>
        </w:rPr>
        <w:t>（4）预算项目调整应对措施：调整完善采购需求。</w:t>
      </w:r>
    </w:p>
    <w:p>
      <w:pPr>
        <w:ind w:firstLine="420" w:firstLineChars="200"/>
      </w:pPr>
      <w:r>
        <w:rPr>
          <w:rFonts w:hint="eastAsia"/>
        </w:rPr>
        <w:t>（5）因质疑投诉影响采购进度应对措施：积极回应投诉。</w:t>
      </w:r>
    </w:p>
    <w:p>
      <w:pPr>
        <w:ind w:firstLine="420" w:firstLineChars="200"/>
      </w:pPr>
      <w:r>
        <w:rPr>
          <w:rFonts w:hint="eastAsia"/>
        </w:rPr>
        <w:t>（6）采购失败应对措施：完善采购需求，开展二次招标。</w:t>
      </w:r>
    </w:p>
    <w:p>
      <w:pPr>
        <w:ind w:firstLine="420" w:firstLineChars="200"/>
      </w:pPr>
      <w:r>
        <w:rPr>
          <w:rFonts w:hint="eastAsia"/>
        </w:rPr>
        <w:t>（7）不按规定签订或者履行合同应对措施：重新招标，追究违约方责任 。</w:t>
      </w:r>
    </w:p>
    <w:p>
      <w:pPr>
        <w:ind w:firstLine="420" w:firstLineChars="200"/>
      </w:pPr>
      <w:r>
        <w:rPr>
          <w:rFonts w:hint="eastAsia"/>
        </w:rPr>
        <w:t>（8）出现损害国家利益和社会公共利益情形应对措施：停止项目，完善采购需求开展二次招标。</w:t>
      </w:r>
    </w:p>
    <w:p>
      <w:pPr>
        <w:pStyle w:val="62"/>
        <w:tabs>
          <w:tab w:val="clear" w:pos="426"/>
        </w:tabs>
      </w:pPr>
      <w:r>
        <w:br w:type="page"/>
      </w:r>
      <w:bookmarkStart w:id="90" w:name="_Toc530152519"/>
      <w:bookmarkStart w:id="91" w:name="_Toc647"/>
      <w:r>
        <w:rPr>
          <w:rFonts w:hint="eastAsia"/>
        </w:rPr>
        <w:t>第四章 采购合同的签订、履约及验收</w:t>
      </w:r>
      <w:bookmarkEnd w:id="90"/>
      <w:bookmarkEnd w:id="91"/>
    </w:p>
    <w:p>
      <w:pPr>
        <w:tabs>
          <w:tab w:val="clear" w:pos="426"/>
        </w:tabs>
        <w:jc w:val="center"/>
        <w:rPr>
          <w:b/>
          <w:sz w:val="24"/>
        </w:rPr>
      </w:pPr>
      <w:r>
        <w:rPr>
          <w:rFonts w:hint="eastAsia"/>
          <w:b/>
          <w:sz w:val="24"/>
        </w:rPr>
        <w:t>一、重要提示</w:t>
      </w:r>
    </w:p>
    <w:p>
      <w:pPr>
        <w:widowControl w:val="0"/>
        <w:shd w:val="clear" w:color="auto" w:fill="auto"/>
        <w:tabs>
          <w:tab w:val="clear" w:pos="426"/>
        </w:tabs>
        <w:adjustRightInd/>
        <w:snapToGrid/>
        <w:ind w:firstLine="420" w:firstLineChars="200"/>
        <w:rPr>
          <w:rFonts w:cs="Times New Roman"/>
          <w:kern w:val="2"/>
          <w:szCs w:val="21"/>
        </w:rPr>
      </w:pPr>
      <w:bookmarkStart w:id="92" w:name="_Hlk2096823"/>
      <w:r>
        <w:rPr>
          <w:rFonts w:hint="eastAsia" w:cs="Times New Roman"/>
          <w:kern w:val="2"/>
          <w:szCs w:val="21"/>
        </w:rPr>
        <w:t>（一）</w:t>
      </w:r>
      <w:r>
        <w:rPr>
          <w:rFonts w:hint="eastAsia"/>
          <w:szCs w:val="21"/>
        </w:rPr>
        <w:t>中标供应商应在中标通知书发出后立即与采购人取得联系。</w:t>
      </w:r>
      <w:r>
        <w:rPr>
          <w:rFonts w:cs="Times New Roman"/>
          <w:kern w:val="2"/>
          <w:szCs w:val="21"/>
        </w:rPr>
        <w:t>中标供应商将于中标通知书发出之日起</w:t>
      </w:r>
      <w:r>
        <w:rPr>
          <w:rFonts w:hint="eastAsia" w:cs="Times New Roman"/>
          <w:kern w:val="2"/>
          <w:szCs w:val="21"/>
        </w:rPr>
        <w:t>三十</w:t>
      </w:r>
      <w:r>
        <w:rPr>
          <w:rFonts w:cs="Times New Roman"/>
          <w:kern w:val="2"/>
          <w:szCs w:val="21"/>
        </w:rPr>
        <w:t>日内，按照招标文件和投标文件内容与采购单位签订书面合同，合同书应采用本招标文件规定的合同样本；</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（二）</w:t>
      </w:r>
      <w:r>
        <w:rPr>
          <w:rFonts w:cs="Times New Roman"/>
          <w:kern w:val="2"/>
          <w:szCs w:val="21"/>
        </w:rPr>
        <w:t xml:space="preserve"> 中标供应商应当按照合同约定履行义务，完成中标项目，不得将中标项目转让（转包）给他人；</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（三）</w:t>
      </w:r>
      <w:r>
        <w:rPr>
          <w:rFonts w:cs="Times New Roman"/>
          <w:kern w:val="2"/>
          <w:szCs w:val="21"/>
        </w:rPr>
        <w:t xml:space="preserve"> 采购人与中标供应商签订的合同必须遵守本招标文件的合同条件，并且不得更改合同条件。</w:t>
      </w:r>
    </w:p>
    <w:p>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（四）</w:t>
      </w:r>
      <w:r>
        <w:rPr>
          <w:rFonts w:cs="Times New Roman"/>
          <w:kern w:val="2"/>
          <w:szCs w:val="21"/>
        </w:rPr>
        <w:t xml:space="preserve"> 供应商必须诚信投标，对项目需求进行实质性响应。</w:t>
      </w:r>
      <w:bookmarkEnd w:id="92"/>
    </w:p>
    <w:p>
      <w:pPr>
        <w:shd w:val="clear" w:color="auto" w:fill="auto"/>
        <w:tabs>
          <w:tab w:val="clear" w:pos="426"/>
        </w:tabs>
        <w:adjustRightInd/>
        <w:snapToGrid/>
        <w:spacing w:line="240" w:lineRule="auto"/>
        <w:jc w:val="left"/>
        <w:rPr>
          <w:rFonts w:ascii="Times New Roman" w:hAnsi="Times New Roman" w:cs="Times New Roman"/>
          <w:b/>
          <w:kern w:val="2"/>
          <w:sz w:val="24"/>
        </w:rPr>
      </w:pPr>
    </w:p>
    <w:p>
      <w:pPr>
        <w:shd w:val="clear" w:color="auto" w:fill="auto"/>
        <w:tabs>
          <w:tab w:val="clear" w:pos="426"/>
        </w:tabs>
        <w:adjustRightInd/>
        <w:snapToGrid/>
        <w:spacing w:line="240" w:lineRule="auto"/>
        <w:jc w:val="left"/>
        <w:rPr>
          <w:rFonts w:ascii="Times New Roman" w:hAnsi="Times New Roman" w:cs="Times New Roman"/>
          <w:b/>
          <w:kern w:val="2"/>
          <w:sz w:val="24"/>
        </w:rPr>
      </w:pPr>
      <w:r>
        <w:rPr>
          <w:rFonts w:ascii="Times New Roman" w:hAnsi="Times New Roman" w:cs="Times New Roman"/>
          <w:b/>
          <w:kern w:val="2"/>
          <w:sz w:val="24"/>
        </w:rPr>
        <w:br w:type="page"/>
      </w:r>
    </w:p>
    <w:p>
      <w:pPr>
        <w:widowControl w:val="0"/>
        <w:shd w:val="clear" w:color="auto" w:fill="auto"/>
        <w:tabs>
          <w:tab w:val="clear" w:pos="426"/>
        </w:tabs>
        <w:adjustRightInd/>
        <w:snapToGrid/>
        <w:spacing w:line="240" w:lineRule="auto"/>
        <w:jc w:val="center"/>
        <w:rPr>
          <w:rFonts w:ascii="Times New Roman" w:hAnsi="Times New Roman" w:cs="Times New Roman"/>
          <w:b/>
          <w:kern w:val="2"/>
          <w:sz w:val="24"/>
        </w:rPr>
      </w:pPr>
    </w:p>
    <w:p>
      <w:pPr>
        <w:tabs>
          <w:tab w:val="clear" w:pos="426"/>
        </w:tabs>
        <w:ind w:firstLine="482" w:firstLineChars="200"/>
        <w:jc w:val="center"/>
        <w:rPr>
          <w:b/>
          <w:sz w:val="24"/>
        </w:rPr>
      </w:pPr>
      <w:r>
        <w:rPr>
          <w:rFonts w:hint="eastAsia"/>
          <w:b/>
          <w:sz w:val="24"/>
        </w:rPr>
        <w:t>二、合同条款及格式</w:t>
      </w:r>
    </w:p>
    <w:bookmarkEnd w:id="79"/>
    <w:bookmarkEnd w:id="80"/>
    <w:p>
      <w:pPr>
        <w:widowControl w:val="0"/>
        <w:shd w:val="clear" w:color="auto" w:fill="auto"/>
        <w:tabs>
          <w:tab w:val="clear" w:pos="426"/>
        </w:tabs>
        <w:spacing w:line="420" w:lineRule="exact"/>
        <w:jc w:val="left"/>
        <w:rPr>
          <w:rFonts w:ascii="Arial" w:hAnsi="Arial" w:cs="Arial"/>
          <w:kern w:val="2"/>
          <w:szCs w:val="21"/>
          <w:u w:val="single"/>
        </w:rPr>
      </w:pPr>
      <w:bookmarkStart w:id="93" w:name="_Toc432592818"/>
      <w:bookmarkStart w:id="94" w:name="_Toc398220526"/>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甲　　方：</w:t>
      </w:r>
      <w:r>
        <w:rPr>
          <w:rFonts w:hint="eastAsia" w:ascii="仿宋" w:hAnsi="仿宋" w:eastAsia="仿宋" w:cs="仿宋"/>
          <w:sz w:val="32"/>
          <w:szCs w:val="32"/>
        </w:rPr>
        <w:t xml:space="preserve"> </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电　　话：　</w:t>
      </w:r>
    </w:p>
    <w:p>
      <w:pPr>
        <w:widowControl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lang w:eastAsia="zh-Hans"/>
        </w:rPr>
        <w:t>传　　真：　</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地　　址：</w:t>
      </w:r>
    </w:p>
    <w:p>
      <w:pPr>
        <w:widowControl w:val="0"/>
        <w:spacing w:line="560" w:lineRule="exact"/>
        <w:ind w:firstLine="640" w:firstLineChars="200"/>
        <w:jc w:val="left"/>
        <w:rPr>
          <w:rFonts w:ascii="仿宋" w:hAnsi="仿宋" w:eastAsia="仿宋" w:cs="仿宋"/>
          <w:sz w:val="32"/>
          <w:szCs w:val="32"/>
          <w:lang w:eastAsia="zh-Hans"/>
        </w:rPr>
      </w:pP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乙　　方：</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电　　话：</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传　　真：</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地　　址：</w:t>
      </w:r>
    </w:p>
    <w:p>
      <w:pPr>
        <w:widowControl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lang w:eastAsia="zh-Hans"/>
        </w:rPr>
        <w:t>项目名称</w:t>
      </w:r>
      <w:r>
        <w:rPr>
          <w:rFonts w:hint="eastAsia" w:ascii="仿宋" w:hAnsi="仿宋" w:eastAsia="仿宋" w:cs="仿宋"/>
          <w:sz w:val="32"/>
          <w:szCs w:val="32"/>
        </w:rPr>
        <w:t>：</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采购编号：</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根据</w:t>
      </w:r>
      <w:r>
        <w:rPr>
          <w:rFonts w:hint="eastAsia" w:ascii="仿宋" w:hAnsi="仿宋" w:eastAsia="仿宋" w:cs="仿宋"/>
          <w:sz w:val="32"/>
          <w:szCs w:val="32"/>
        </w:rPr>
        <w:t>XXXX项目</w:t>
      </w:r>
      <w:r>
        <w:rPr>
          <w:rFonts w:hint="eastAsia" w:ascii="仿宋" w:hAnsi="仿宋" w:eastAsia="仿宋" w:cs="仿宋"/>
          <w:sz w:val="32"/>
          <w:szCs w:val="32"/>
          <w:lang w:eastAsia="zh-Hans"/>
        </w:rPr>
        <w:t>的采购结果，按照《中华人民共和国政府采购法》、《中华人民共和国民法典》的规定，经双方协商，本着平等互利和诚实信用的原则，一致同意签订本合同。</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一、合同金额</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ab/>
      </w:r>
      <w:r>
        <w:rPr>
          <w:rFonts w:hint="eastAsia" w:ascii="仿宋" w:hAnsi="仿宋" w:eastAsia="仿宋" w:cs="仿宋"/>
          <w:sz w:val="32"/>
          <w:szCs w:val="32"/>
          <w:lang w:eastAsia="zh-Hans"/>
        </w:rPr>
        <w:t>含税合同金额为（大写）：人民币            整（￥        元）。该合同金额已经包含货物费、运输费、装卸费、保险费、安装费、零配件费、技术服务费（含培训费、调试费）、税费、验收费、不可预见费等完成本项目内容所需的一切相关费用等。</w:t>
      </w:r>
    </w:p>
    <w:tbl>
      <w:tblPr>
        <w:tblStyle w:val="85"/>
        <w:tblW w:w="9573" w:type="dxa"/>
        <w:jc w:val="center"/>
        <w:tblLayout w:type="fixed"/>
        <w:tblCellMar>
          <w:top w:w="0" w:type="dxa"/>
          <w:left w:w="108" w:type="dxa"/>
          <w:bottom w:w="0" w:type="dxa"/>
          <w:right w:w="108" w:type="dxa"/>
        </w:tblCellMar>
      </w:tblPr>
      <w:tblGrid>
        <w:gridCol w:w="1232"/>
        <w:gridCol w:w="1973"/>
        <w:gridCol w:w="1788"/>
        <w:gridCol w:w="1726"/>
        <w:gridCol w:w="1294"/>
        <w:gridCol w:w="1560"/>
      </w:tblGrid>
      <w:tr>
        <w:tblPrEx>
          <w:tblCellMar>
            <w:top w:w="0" w:type="dxa"/>
            <w:left w:w="108" w:type="dxa"/>
            <w:bottom w:w="0" w:type="dxa"/>
            <w:right w:w="108" w:type="dxa"/>
          </w:tblCellMar>
        </w:tblPrEx>
        <w:trPr>
          <w:trHeight w:val="452" w:hRule="atLeast"/>
          <w:jc w:val="center"/>
        </w:trPr>
        <w:tc>
          <w:tcPr>
            <w:tcW w:w="9573" w:type="dxa"/>
            <w:gridSpan w:val="6"/>
            <w:tcBorders>
              <w:top w:val="single" w:color="auto" w:sz="4" w:space="0"/>
              <w:left w:val="single" w:color="auto" w:sz="4" w:space="0"/>
              <w:bottom w:val="single" w:color="auto" w:sz="4" w:space="0"/>
              <w:right w:val="single" w:color="auto" w:sz="4" w:space="0"/>
            </w:tcBorders>
            <w:vAlign w:val="center"/>
          </w:tcPr>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1.产品明细</w:t>
            </w:r>
          </w:p>
        </w:tc>
      </w:tr>
      <w:tr>
        <w:tblPrEx>
          <w:tblCellMar>
            <w:top w:w="0" w:type="dxa"/>
            <w:left w:w="108" w:type="dxa"/>
            <w:bottom w:w="0" w:type="dxa"/>
            <w:right w:w="108" w:type="dxa"/>
          </w:tblCellMar>
        </w:tblPrEx>
        <w:trPr>
          <w:trHeight w:val="452" w:hRule="atLeast"/>
          <w:jc w:val="center"/>
        </w:trPr>
        <w:tc>
          <w:tcPr>
            <w:tcW w:w="1232" w:type="dxa"/>
            <w:tcBorders>
              <w:top w:val="single" w:color="auto" w:sz="4" w:space="0"/>
              <w:left w:val="single" w:color="auto" w:sz="4" w:space="0"/>
              <w:bottom w:val="single" w:color="auto" w:sz="4" w:space="0"/>
              <w:right w:val="single" w:color="auto" w:sz="4" w:space="0"/>
            </w:tcBorders>
            <w:vAlign w:val="center"/>
          </w:tcPr>
          <w:p>
            <w:pPr>
              <w:widowControl w:val="0"/>
              <w:spacing w:line="560" w:lineRule="exact"/>
              <w:jc w:val="center"/>
              <w:rPr>
                <w:rFonts w:ascii="仿宋" w:hAnsi="仿宋" w:eastAsia="仿宋" w:cs="仿宋"/>
                <w:sz w:val="32"/>
                <w:szCs w:val="32"/>
                <w:lang w:eastAsia="zh-Hans"/>
              </w:rPr>
            </w:pPr>
            <w:r>
              <w:rPr>
                <w:rFonts w:hint="eastAsia" w:ascii="仿宋" w:hAnsi="仿宋" w:eastAsia="仿宋" w:cs="仿宋"/>
                <w:sz w:val="32"/>
                <w:szCs w:val="32"/>
                <w:lang w:eastAsia="zh-Hans"/>
              </w:rPr>
              <w:t>序号</w:t>
            </w:r>
          </w:p>
        </w:tc>
        <w:tc>
          <w:tcPr>
            <w:tcW w:w="1973" w:type="dxa"/>
            <w:tcBorders>
              <w:top w:val="single" w:color="auto" w:sz="4" w:space="0"/>
              <w:left w:val="single" w:color="auto" w:sz="4" w:space="0"/>
              <w:bottom w:val="single" w:color="auto" w:sz="4" w:space="0"/>
              <w:right w:val="single" w:color="auto" w:sz="4" w:space="0"/>
            </w:tcBorders>
            <w:vAlign w:val="center"/>
          </w:tcPr>
          <w:p>
            <w:pPr>
              <w:widowControl w:val="0"/>
              <w:spacing w:line="560" w:lineRule="exact"/>
              <w:jc w:val="center"/>
              <w:rPr>
                <w:rFonts w:ascii="仿宋" w:hAnsi="仿宋" w:eastAsia="仿宋" w:cs="仿宋"/>
                <w:sz w:val="32"/>
                <w:szCs w:val="32"/>
                <w:lang w:eastAsia="zh-Hans"/>
              </w:rPr>
            </w:pPr>
            <w:r>
              <w:rPr>
                <w:rFonts w:hint="eastAsia" w:ascii="仿宋" w:hAnsi="仿宋" w:eastAsia="仿宋" w:cs="仿宋"/>
                <w:sz w:val="32"/>
                <w:szCs w:val="32"/>
              </w:rPr>
              <w:t>产品</w:t>
            </w:r>
            <w:r>
              <w:rPr>
                <w:rFonts w:hint="eastAsia" w:ascii="仿宋" w:hAnsi="仿宋" w:eastAsia="仿宋" w:cs="仿宋"/>
                <w:sz w:val="32"/>
                <w:szCs w:val="32"/>
                <w:lang w:eastAsia="zh-Hans"/>
              </w:rPr>
              <w:t>名称</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val="0"/>
              <w:spacing w:line="560" w:lineRule="exact"/>
              <w:jc w:val="center"/>
              <w:rPr>
                <w:rFonts w:ascii="仿宋" w:hAnsi="仿宋" w:eastAsia="仿宋" w:cs="仿宋"/>
                <w:sz w:val="32"/>
                <w:szCs w:val="32"/>
                <w:lang w:eastAsia="zh-Hans"/>
              </w:rPr>
            </w:pPr>
            <w:r>
              <w:rPr>
                <w:rFonts w:hint="eastAsia" w:ascii="仿宋" w:hAnsi="仿宋" w:eastAsia="仿宋" w:cs="仿宋"/>
                <w:sz w:val="32"/>
                <w:szCs w:val="32"/>
                <w:lang w:eastAsia="zh-Hans"/>
              </w:rPr>
              <w:t>品牌型号</w:t>
            </w:r>
          </w:p>
        </w:tc>
        <w:tc>
          <w:tcPr>
            <w:tcW w:w="1726" w:type="dxa"/>
            <w:tcBorders>
              <w:top w:val="single" w:color="auto" w:sz="4" w:space="0"/>
              <w:left w:val="single" w:color="auto" w:sz="4" w:space="0"/>
              <w:bottom w:val="single" w:color="auto" w:sz="4" w:space="0"/>
              <w:right w:val="single" w:color="auto" w:sz="4" w:space="0"/>
            </w:tcBorders>
            <w:vAlign w:val="center"/>
          </w:tcPr>
          <w:p>
            <w:pPr>
              <w:widowControl w:val="0"/>
              <w:spacing w:line="560" w:lineRule="exact"/>
              <w:jc w:val="center"/>
              <w:rPr>
                <w:rFonts w:ascii="仿宋" w:hAnsi="仿宋" w:eastAsia="仿宋" w:cs="仿宋"/>
                <w:sz w:val="32"/>
                <w:szCs w:val="32"/>
                <w:lang w:eastAsia="zh-Hans"/>
              </w:rPr>
            </w:pPr>
            <w:r>
              <w:rPr>
                <w:rFonts w:hint="eastAsia" w:ascii="仿宋" w:hAnsi="仿宋" w:eastAsia="仿宋" w:cs="仿宋"/>
                <w:sz w:val="32"/>
                <w:szCs w:val="32"/>
                <w:lang w:eastAsia="zh-Hans"/>
              </w:rPr>
              <w:t>单价（元）</w:t>
            </w:r>
          </w:p>
        </w:tc>
        <w:tc>
          <w:tcPr>
            <w:tcW w:w="1294" w:type="dxa"/>
            <w:tcBorders>
              <w:top w:val="single" w:color="auto" w:sz="4" w:space="0"/>
              <w:left w:val="single" w:color="auto" w:sz="4" w:space="0"/>
              <w:bottom w:val="single" w:color="auto" w:sz="4" w:space="0"/>
              <w:right w:val="single" w:color="auto" w:sz="4" w:space="0"/>
            </w:tcBorders>
            <w:vAlign w:val="center"/>
          </w:tcPr>
          <w:p>
            <w:pPr>
              <w:widowControl w:val="0"/>
              <w:spacing w:line="560" w:lineRule="exact"/>
              <w:jc w:val="center"/>
              <w:rPr>
                <w:rFonts w:ascii="仿宋" w:hAnsi="仿宋" w:eastAsia="仿宋" w:cs="仿宋"/>
                <w:sz w:val="32"/>
                <w:szCs w:val="32"/>
                <w:lang w:eastAsia="zh-Hans"/>
              </w:rPr>
            </w:pPr>
            <w:r>
              <w:rPr>
                <w:rFonts w:hint="eastAsia" w:ascii="仿宋" w:hAnsi="仿宋" w:eastAsia="仿宋" w:cs="仿宋"/>
                <w:sz w:val="32"/>
                <w:szCs w:val="32"/>
                <w:lang w:eastAsia="zh-Hans"/>
              </w:rPr>
              <w:t>数量</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val="0"/>
              <w:spacing w:line="560" w:lineRule="exact"/>
              <w:jc w:val="center"/>
              <w:rPr>
                <w:rFonts w:ascii="仿宋" w:hAnsi="仿宋" w:eastAsia="仿宋" w:cs="仿宋"/>
                <w:sz w:val="32"/>
                <w:szCs w:val="32"/>
                <w:lang w:eastAsia="zh-Hans"/>
              </w:rPr>
            </w:pPr>
            <w:r>
              <w:rPr>
                <w:rFonts w:hint="eastAsia" w:ascii="仿宋" w:hAnsi="仿宋" w:eastAsia="仿宋" w:cs="仿宋"/>
                <w:sz w:val="32"/>
                <w:szCs w:val="32"/>
                <w:lang w:eastAsia="zh-Hans"/>
              </w:rPr>
              <w:t>总价（元）</w:t>
            </w:r>
          </w:p>
        </w:tc>
      </w:tr>
      <w:tr>
        <w:tblPrEx>
          <w:tblCellMar>
            <w:top w:w="0" w:type="dxa"/>
            <w:left w:w="108" w:type="dxa"/>
            <w:bottom w:w="0" w:type="dxa"/>
            <w:right w:w="108" w:type="dxa"/>
          </w:tblCellMar>
        </w:tblPrEx>
        <w:trPr>
          <w:trHeight w:val="473" w:hRule="atLeast"/>
          <w:jc w:val="center"/>
        </w:trPr>
        <w:tc>
          <w:tcPr>
            <w:tcW w:w="1232" w:type="dxa"/>
            <w:tcBorders>
              <w:top w:val="single" w:color="auto" w:sz="4" w:space="0"/>
              <w:left w:val="single" w:color="auto" w:sz="4" w:space="0"/>
              <w:bottom w:val="single" w:color="auto" w:sz="4" w:space="0"/>
              <w:right w:val="single" w:color="auto" w:sz="4" w:space="0"/>
            </w:tcBorders>
            <w:vAlign w:val="center"/>
          </w:tcPr>
          <w:p>
            <w:pPr>
              <w:widowControl w:val="0"/>
              <w:spacing w:line="560" w:lineRule="exact"/>
              <w:jc w:val="center"/>
              <w:rPr>
                <w:rFonts w:ascii="仿宋" w:hAnsi="仿宋" w:eastAsia="仿宋" w:cs="仿宋"/>
                <w:sz w:val="32"/>
                <w:szCs w:val="32"/>
                <w:lang w:eastAsia="zh-Hans"/>
              </w:rPr>
            </w:pPr>
            <w:r>
              <w:rPr>
                <w:rFonts w:hint="eastAsia" w:ascii="仿宋" w:hAnsi="仿宋" w:eastAsia="仿宋" w:cs="仿宋"/>
                <w:sz w:val="32"/>
                <w:szCs w:val="32"/>
                <w:lang w:eastAsia="zh-Hans"/>
              </w:rPr>
              <w:t>1</w:t>
            </w:r>
          </w:p>
        </w:tc>
        <w:tc>
          <w:tcPr>
            <w:tcW w:w="1973" w:type="dxa"/>
            <w:tcBorders>
              <w:top w:val="single" w:color="auto" w:sz="4" w:space="0"/>
              <w:left w:val="single" w:color="auto" w:sz="4" w:space="0"/>
              <w:bottom w:val="single" w:color="auto" w:sz="4" w:space="0"/>
              <w:right w:val="single" w:color="auto" w:sz="4" w:space="0"/>
            </w:tcBorders>
            <w:vAlign w:val="center"/>
          </w:tcPr>
          <w:p>
            <w:pPr>
              <w:widowControl w:val="0"/>
              <w:spacing w:line="560" w:lineRule="exact"/>
              <w:ind w:firstLine="640" w:firstLineChars="200"/>
              <w:jc w:val="center"/>
              <w:rPr>
                <w:rFonts w:ascii="仿宋" w:hAnsi="仿宋" w:eastAsia="仿宋" w:cs="仿宋"/>
                <w:sz w:val="32"/>
                <w:szCs w:val="32"/>
                <w:lang w:eastAsia="zh-Hans"/>
              </w:rPr>
            </w:pPr>
          </w:p>
        </w:tc>
        <w:tc>
          <w:tcPr>
            <w:tcW w:w="1788" w:type="dxa"/>
            <w:tcBorders>
              <w:top w:val="single" w:color="auto" w:sz="4" w:space="0"/>
              <w:left w:val="single" w:color="auto" w:sz="4" w:space="0"/>
              <w:bottom w:val="single" w:color="auto" w:sz="4" w:space="0"/>
              <w:right w:val="single" w:color="auto" w:sz="4" w:space="0"/>
            </w:tcBorders>
            <w:vAlign w:val="center"/>
          </w:tcPr>
          <w:p>
            <w:pPr>
              <w:widowControl w:val="0"/>
              <w:spacing w:line="560" w:lineRule="exact"/>
              <w:ind w:firstLine="640" w:firstLineChars="200"/>
              <w:jc w:val="center"/>
              <w:rPr>
                <w:rFonts w:ascii="仿宋" w:hAnsi="仿宋" w:eastAsia="仿宋" w:cs="仿宋"/>
                <w:sz w:val="32"/>
                <w:szCs w:val="32"/>
                <w:lang w:eastAsia="zh-Hans"/>
              </w:rPr>
            </w:pPr>
          </w:p>
        </w:tc>
        <w:tc>
          <w:tcPr>
            <w:tcW w:w="1726" w:type="dxa"/>
            <w:tcBorders>
              <w:top w:val="single" w:color="auto" w:sz="4" w:space="0"/>
              <w:left w:val="single" w:color="auto" w:sz="4" w:space="0"/>
              <w:bottom w:val="single" w:color="auto" w:sz="4" w:space="0"/>
              <w:right w:val="single" w:color="auto" w:sz="4" w:space="0"/>
            </w:tcBorders>
            <w:vAlign w:val="center"/>
          </w:tcPr>
          <w:p>
            <w:pPr>
              <w:widowControl w:val="0"/>
              <w:spacing w:line="560" w:lineRule="exact"/>
              <w:ind w:firstLine="640" w:firstLineChars="200"/>
              <w:jc w:val="center"/>
              <w:rPr>
                <w:rFonts w:ascii="仿宋" w:hAnsi="仿宋" w:eastAsia="仿宋" w:cs="仿宋"/>
                <w:sz w:val="32"/>
                <w:szCs w:val="32"/>
                <w:lang w:eastAsia="zh-Hans"/>
              </w:rPr>
            </w:pPr>
          </w:p>
        </w:tc>
        <w:tc>
          <w:tcPr>
            <w:tcW w:w="1294" w:type="dxa"/>
            <w:tcBorders>
              <w:top w:val="single" w:color="auto" w:sz="4" w:space="0"/>
              <w:left w:val="single" w:color="auto" w:sz="4" w:space="0"/>
              <w:bottom w:val="single" w:color="auto" w:sz="4" w:space="0"/>
              <w:right w:val="single" w:color="auto" w:sz="4" w:space="0"/>
            </w:tcBorders>
            <w:vAlign w:val="center"/>
          </w:tcPr>
          <w:p>
            <w:pPr>
              <w:widowControl w:val="0"/>
              <w:spacing w:line="560" w:lineRule="exact"/>
              <w:ind w:firstLine="640" w:firstLineChars="200"/>
              <w:jc w:val="center"/>
              <w:rPr>
                <w:rFonts w:ascii="仿宋" w:hAnsi="仿宋" w:eastAsia="仿宋" w:cs="仿宋"/>
                <w:sz w:val="32"/>
                <w:szCs w:val="32"/>
                <w:lang w:eastAsia="zh-Hans"/>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val="0"/>
              <w:spacing w:line="560" w:lineRule="exact"/>
              <w:ind w:firstLine="640" w:firstLineChars="200"/>
              <w:jc w:val="center"/>
              <w:rPr>
                <w:rFonts w:ascii="仿宋" w:hAnsi="仿宋" w:eastAsia="仿宋" w:cs="仿宋"/>
                <w:sz w:val="32"/>
                <w:szCs w:val="32"/>
                <w:lang w:eastAsia="zh-Hans"/>
              </w:rPr>
            </w:pPr>
          </w:p>
        </w:tc>
      </w:tr>
      <w:tr>
        <w:tblPrEx>
          <w:tblCellMar>
            <w:top w:w="0" w:type="dxa"/>
            <w:left w:w="108" w:type="dxa"/>
            <w:bottom w:w="0" w:type="dxa"/>
            <w:right w:w="108" w:type="dxa"/>
          </w:tblCellMar>
        </w:tblPrEx>
        <w:trPr>
          <w:trHeight w:val="380" w:hRule="atLeast"/>
          <w:jc w:val="center"/>
        </w:trPr>
        <w:tc>
          <w:tcPr>
            <w:tcW w:w="1232" w:type="dxa"/>
            <w:tcBorders>
              <w:top w:val="single" w:color="auto" w:sz="4" w:space="0"/>
              <w:left w:val="single" w:color="auto" w:sz="4" w:space="0"/>
              <w:bottom w:val="single" w:color="auto" w:sz="4" w:space="0"/>
              <w:right w:val="single" w:color="auto" w:sz="4" w:space="0"/>
            </w:tcBorders>
            <w:vAlign w:val="center"/>
          </w:tcPr>
          <w:p>
            <w:pPr>
              <w:widowControl w:val="0"/>
              <w:spacing w:line="560" w:lineRule="exact"/>
              <w:jc w:val="center"/>
              <w:rPr>
                <w:rFonts w:ascii="仿宋" w:hAnsi="仿宋" w:eastAsia="仿宋" w:cs="仿宋"/>
                <w:sz w:val="32"/>
                <w:szCs w:val="32"/>
                <w:lang w:eastAsia="zh-Hans"/>
              </w:rPr>
            </w:pPr>
            <w:r>
              <w:rPr>
                <w:rFonts w:hint="eastAsia" w:ascii="仿宋" w:hAnsi="仿宋" w:eastAsia="仿宋" w:cs="仿宋"/>
                <w:sz w:val="32"/>
                <w:szCs w:val="32"/>
                <w:lang w:eastAsia="zh-Hans"/>
              </w:rPr>
              <w:t>2</w:t>
            </w:r>
          </w:p>
        </w:tc>
        <w:tc>
          <w:tcPr>
            <w:tcW w:w="1973" w:type="dxa"/>
            <w:tcBorders>
              <w:top w:val="single" w:color="auto" w:sz="4" w:space="0"/>
              <w:left w:val="single" w:color="auto" w:sz="4" w:space="0"/>
              <w:bottom w:val="single" w:color="auto" w:sz="4" w:space="0"/>
              <w:right w:val="single" w:color="auto" w:sz="4" w:space="0"/>
            </w:tcBorders>
            <w:vAlign w:val="center"/>
          </w:tcPr>
          <w:p>
            <w:pPr>
              <w:widowControl w:val="0"/>
              <w:spacing w:line="560" w:lineRule="exact"/>
              <w:ind w:firstLine="640" w:firstLineChars="200"/>
              <w:jc w:val="center"/>
              <w:rPr>
                <w:rFonts w:ascii="仿宋" w:hAnsi="仿宋" w:eastAsia="仿宋" w:cs="仿宋"/>
                <w:sz w:val="32"/>
                <w:szCs w:val="32"/>
                <w:lang w:eastAsia="zh-Hans"/>
              </w:rPr>
            </w:pPr>
          </w:p>
        </w:tc>
        <w:tc>
          <w:tcPr>
            <w:tcW w:w="1788" w:type="dxa"/>
            <w:tcBorders>
              <w:top w:val="single" w:color="auto" w:sz="4" w:space="0"/>
              <w:left w:val="single" w:color="auto" w:sz="4" w:space="0"/>
              <w:bottom w:val="single" w:color="auto" w:sz="4" w:space="0"/>
              <w:right w:val="single" w:color="auto" w:sz="4" w:space="0"/>
            </w:tcBorders>
            <w:vAlign w:val="center"/>
          </w:tcPr>
          <w:p>
            <w:pPr>
              <w:widowControl w:val="0"/>
              <w:spacing w:line="560" w:lineRule="exact"/>
              <w:ind w:firstLine="640" w:firstLineChars="200"/>
              <w:jc w:val="center"/>
              <w:rPr>
                <w:rFonts w:ascii="仿宋" w:hAnsi="仿宋" w:eastAsia="仿宋" w:cs="仿宋"/>
                <w:sz w:val="32"/>
                <w:szCs w:val="32"/>
                <w:lang w:eastAsia="zh-Hans"/>
              </w:rPr>
            </w:pPr>
          </w:p>
        </w:tc>
        <w:tc>
          <w:tcPr>
            <w:tcW w:w="1726" w:type="dxa"/>
            <w:tcBorders>
              <w:top w:val="single" w:color="auto" w:sz="4" w:space="0"/>
              <w:left w:val="single" w:color="auto" w:sz="4" w:space="0"/>
              <w:bottom w:val="single" w:color="auto" w:sz="4" w:space="0"/>
              <w:right w:val="single" w:color="auto" w:sz="4" w:space="0"/>
            </w:tcBorders>
            <w:vAlign w:val="center"/>
          </w:tcPr>
          <w:p>
            <w:pPr>
              <w:widowControl w:val="0"/>
              <w:spacing w:line="560" w:lineRule="exact"/>
              <w:ind w:firstLine="640" w:firstLineChars="200"/>
              <w:jc w:val="center"/>
              <w:rPr>
                <w:rFonts w:ascii="仿宋" w:hAnsi="仿宋" w:eastAsia="仿宋" w:cs="仿宋"/>
                <w:sz w:val="32"/>
                <w:szCs w:val="32"/>
                <w:lang w:eastAsia="zh-Hans"/>
              </w:rPr>
            </w:pPr>
          </w:p>
        </w:tc>
        <w:tc>
          <w:tcPr>
            <w:tcW w:w="1294" w:type="dxa"/>
            <w:tcBorders>
              <w:top w:val="single" w:color="auto" w:sz="4" w:space="0"/>
              <w:left w:val="single" w:color="auto" w:sz="4" w:space="0"/>
              <w:bottom w:val="single" w:color="auto" w:sz="4" w:space="0"/>
              <w:right w:val="single" w:color="auto" w:sz="4" w:space="0"/>
            </w:tcBorders>
            <w:vAlign w:val="center"/>
          </w:tcPr>
          <w:p>
            <w:pPr>
              <w:widowControl w:val="0"/>
              <w:spacing w:line="560" w:lineRule="exact"/>
              <w:ind w:firstLine="640" w:firstLineChars="200"/>
              <w:jc w:val="center"/>
              <w:rPr>
                <w:rFonts w:ascii="仿宋" w:hAnsi="仿宋" w:eastAsia="仿宋" w:cs="仿宋"/>
                <w:sz w:val="32"/>
                <w:szCs w:val="32"/>
                <w:lang w:eastAsia="zh-Hans"/>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val="0"/>
              <w:spacing w:line="560" w:lineRule="exact"/>
              <w:ind w:firstLine="640" w:firstLineChars="200"/>
              <w:jc w:val="center"/>
              <w:rPr>
                <w:rFonts w:ascii="仿宋" w:hAnsi="仿宋" w:eastAsia="仿宋" w:cs="仿宋"/>
                <w:sz w:val="32"/>
                <w:szCs w:val="32"/>
                <w:lang w:eastAsia="zh-Hans"/>
              </w:rPr>
            </w:pPr>
          </w:p>
        </w:tc>
      </w:tr>
      <w:tr>
        <w:tblPrEx>
          <w:tblCellMar>
            <w:top w:w="0" w:type="dxa"/>
            <w:left w:w="108" w:type="dxa"/>
            <w:bottom w:w="0" w:type="dxa"/>
            <w:right w:w="108" w:type="dxa"/>
          </w:tblCellMar>
        </w:tblPrEx>
        <w:trPr>
          <w:trHeight w:val="415" w:hRule="atLeast"/>
          <w:jc w:val="center"/>
        </w:trPr>
        <w:tc>
          <w:tcPr>
            <w:tcW w:w="1232" w:type="dxa"/>
            <w:tcBorders>
              <w:top w:val="single" w:color="auto" w:sz="4" w:space="0"/>
              <w:left w:val="single" w:color="auto" w:sz="4" w:space="0"/>
              <w:bottom w:val="single" w:color="auto" w:sz="4" w:space="0"/>
              <w:right w:val="single" w:color="auto" w:sz="4" w:space="0"/>
            </w:tcBorders>
            <w:vAlign w:val="center"/>
          </w:tcPr>
          <w:p>
            <w:pPr>
              <w:widowControl w:val="0"/>
              <w:spacing w:line="560" w:lineRule="exact"/>
              <w:jc w:val="center"/>
              <w:rPr>
                <w:rFonts w:ascii="仿宋" w:hAnsi="仿宋" w:eastAsia="仿宋" w:cs="仿宋"/>
                <w:sz w:val="32"/>
                <w:szCs w:val="32"/>
                <w:lang w:eastAsia="zh-Hans"/>
              </w:rPr>
            </w:pPr>
            <w:r>
              <w:rPr>
                <w:rFonts w:hint="eastAsia" w:ascii="仿宋" w:hAnsi="仿宋" w:eastAsia="仿宋" w:cs="仿宋"/>
                <w:sz w:val="32"/>
                <w:szCs w:val="32"/>
                <w:lang w:eastAsia="zh-Hans"/>
              </w:rPr>
              <w:t>3</w:t>
            </w:r>
          </w:p>
        </w:tc>
        <w:tc>
          <w:tcPr>
            <w:tcW w:w="1973" w:type="dxa"/>
            <w:tcBorders>
              <w:top w:val="single" w:color="auto" w:sz="4" w:space="0"/>
              <w:left w:val="single" w:color="auto" w:sz="4" w:space="0"/>
              <w:bottom w:val="single" w:color="auto" w:sz="4" w:space="0"/>
              <w:right w:val="single" w:color="auto" w:sz="4" w:space="0"/>
            </w:tcBorders>
            <w:vAlign w:val="center"/>
          </w:tcPr>
          <w:p>
            <w:pPr>
              <w:widowControl w:val="0"/>
              <w:spacing w:line="560" w:lineRule="exact"/>
              <w:ind w:firstLine="640" w:firstLineChars="200"/>
              <w:jc w:val="center"/>
              <w:rPr>
                <w:rFonts w:ascii="仿宋" w:hAnsi="仿宋" w:eastAsia="仿宋" w:cs="仿宋"/>
                <w:sz w:val="32"/>
                <w:szCs w:val="32"/>
                <w:lang w:eastAsia="zh-Hans"/>
              </w:rPr>
            </w:pPr>
          </w:p>
        </w:tc>
        <w:tc>
          <w:tcPr>
            <w:tcW w:w="1788" w:type="dxa"/>
            <w:tcBorders>
              <w:top w:val="single" w:color="auto" w:sz="4" w:space="0"/>
              <w:left w:val="single" w:color="auto" w:sz="4" w:space="0"/>
              <w:bottom w:val="single" w:color="auto" w:sz="4" w:space="0"/>
              <w:right w:val="single" w:color="auto" w:sz="4" w:space="0"/>
            </w:tcBorders>
            <w:vAlign w:val="center"/>
          </w:tcPr>
          <w:p>
            <w:pPr>
              <w:widowControl w:val="0"/>
              <w:spacing w:line="560" w:lineRule="exact"/>
              <w:ind w:firstLine="640" w:firstLineChars="200"/>
              <w:jc w:val="center"/>
              <w:rPr>
                <w:rFonts w:ascii="仿宋" w:hAnsi="仿宋" w:eastAsia="仿宋" w:cs="仿宋"/>
                <w:sz w:val="32"/>
                <w:szCs w:val="32"/>
                <w:lang w:eastAsia="zh-Hans"/>
              </w:rPr>
            </w:pPr>
          </w:p>
        </w:tc>
        <w:tc>
          <w:tcPr>
            <w:tcW w:w="1726" w:type="dxa"/>
            <w:tcBorders>
              <w:top w:val="single" w:color="auto" w:sz="4" w:space="0"/>
              <w:left w:val="single" w:color="auto" w:sz="4" w:space="0"/>
              <w:bottom w:val="single" w:color="auto" w:sz="4" w:space="0"/>
              <w:right w:val="single" w:color="auto" w:sz="4" w:space="0"/>
            </w:tcBorders>
            <w:vAlign w:val="center"/>
          </w:tcPr>
          <w:p>
            <w:pPr>
              <w:widowControl w:val="0"/>
              <w:spacing w:line="560" w:lineRule="exact"/>
              <w:ind w:firstLine="640" w:firstLineChars="200"/>
              <w:jc w:val="center"/>
              <w:rPr>
                <w:rFonts w:ascii="仿宋" w:hAnsi="仿宋" w:eastAsia="仿宋" w:cs="仿宋"/>
                <w:sz w:val="32"/>
                <w:szCs w:val="32"/>
                <w:lang w:eastAsia="zh-Hans"/>
              </w:rPr>
            </w:pPr>
          </w:p>
        </w:tc>
        <w:tc>
          <w:tcPr>
            <w:tcW w:w="1294" w:type="dxa"/>
            <w:tcBorders>
              <w:top w:val="single" w:color="auto" w:sz="4" w:space="0"/>
              <w:left w:val="single" w:color="auto" w:sz="4" w:space="0"/>
              <w:bottom w:val="single" w:color="auto" w:sz="4" w:space="0"/>
              <w:right w:val="single" w:color="auto" w:sz="4" w:space="0"/>
            </w:tcBorders>
            <w:vAlign w:val="center"/>
          </w:tcPr>
          <w:p>
            <w:pPr>
              <w:widowControl w:val="0"/>
              <w:spacing w:line="560" w:lineRule="exact"/>
              <w:ind w:firstLine="640" w:firstLineChars="200"/>
              <w:jc w:val="center"/>
              <w:rPr>
                <w:rFonts w:ascii="仿宋" w:hAnsi="仿宋" w:eastAsia="仿宋" w:cs="仿宋"/>
                <w:sz w:val="32"/>
                <w:szCs w:val="32"/>
                <w:lang w:eastAsia="zh-Hans"/>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val="0"/>
              <w:spacing w:line="560" w:lineRule="exact"/>
              <w:ind w:firstLine="640" w:firstLineChars="200"/>
              <w:jc w:val="center"/>
              <w:rPr>
                <w:rFonts w:ascii="仿宋" w:hAnsi="仿宋" w:eastAsia="仿宋" w:cs="仿宋"/>
                <w:sz w:val="32"/>
                <w:szCs w:val="32"/>
                <w:lang w:eastAsia="zh-Hans"/>
              </w:rPr>
            </w:pPr>
          </w:p>
        </w:tc>
      </w:tr>
      <w:tr>
        <w:tblPrEx>
          <w:tblCellMar>
            <w:top w:w="0" w:type="dxa"/>
            <w:left w:w="108" w:type="dxa"/>
            <w:bottom w:w="0" w:type="dxa"/>
            <w:right w:w="108" w:type="dxa"/>
          </w:tblCellMar>
        </w:tblPrEx>
        <w:trPr>
          <w:trHeight w:val="419" w:hRule="atLeast"/>
          <w:jc w:val="center"/>
        </w:trPr>
        <w:tc>
          <w:tcPr>
            <w:tcW w:w="8013" w:type="dxa"/>
            <w:gridSpan w:val="5"/>
            <w:tcBorders>
              <w:top w:val="single" w:color="auto" w:sz="4" w:space="0"/>
              <w:left w:val="single" w:color="auto" w:sz="4" w:space="0"/>
              <w:bottom w:val="single" w:color="auto" w:sz="4" w:space="0"/>
              <w:right w:val="single" w:color="auto" w:sz="4" w:space="0"/>
            </w:tcBorders>
            <w:vAlign w:val="center"/>
          </w:tcPr>
          <w:p>
            <w:pPr>
              <w:widowControl w:val="0"/>
              <w:spacing w:line="560" w:lineRule="exact"/>
              <w:ind w:firstLine="640" w:firstLineChars="200"/>
              <w:jc w:val="center"/>
              <w:rPr>
                <w:rFonts w:ascii="仿宋" w:hAnsi="仿宋" w:eastAsia="仿宋" w:cs="仿宋"/>
                <w:sz w:val="32"/>
                <w:szCs w:val="32"/>
                <w:lang w:eastAsia="zh-Hans"/>
              </w:rPr>
            </w:pPr>
            <w:r>
              <w:rPr>
                <w:rFonts w:hint="eastAsia" w:ascii="仿宋" w:hAnsi="仿宋" w:eastAsia="仿宋" w:cs="仿宋"/>
                <w:sz w:val="32"/>
                <w:szCs w:val="32"/>
                <w:lang w:eastAsia="zh-Hans"/>
              </w:rPr>
              <w:t>合  计</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val="0"/>
              <w:spacing w:line="560" w:lineRule="exact"/>
              <w:ind w:firstLine="640" w:firstLineChars="200"/>
              <w:jc w:val="center"/>
              <w:rPr>
                <w:rFonts w:ascii="仿宋" w:hAnsi="仿宋" w:eastAsia="仿宋" w:cs="仿宋"/>
                <w:sz w:val="32"/>
                <w:szCs w:val="32"/>
                <w:lang w:eastAsia="zh-Hans"/>
              </w:rPr>
            </w:pPr>
          </w:p>
        </w:tc>
      </w:tr>
      <w:tr>
        <w:tblPrEx>
          <w:tblCellMar>
            <w:top w:w="0" w:type="dxa"/>
            <w:left w:w="108" w:type="dxa"/>
            <w:bottom w:w="0" w:type="dxa"/>
            <w:right w:w="108" w:type="dxa"/>
          </w:tblCellMar>
        </w:tblPrEx>
        <w:trPr>
          <w:trHeight w:val="981" w:hRule="atLeast"/>
          <w:jc w:val="center"/>
        </w:trPr>
        <w:tc>
          <w:tcPr>
            <w:tcW w:w="9573" w:type="dxa"/>
            <w:gridSpan w:val="6"/>
            <w:tcBorders>
              <w:top w:val="single" w:color="auto" w:sz="4" w:space="0"/>
              <w:left w:val="single" w:color="auto" w:sz="4" w:space="0"/>
              <w:bottom w:val="single" w:color="auto" w:sz="4" w:space="0"/>
              <w:right w:val="single" w:color="auto" w:sz="4" w:space="0"/>
            </w:tcBorders>
            <w:vAlign w:val="center"/>
          </w:tcPr>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2、总报价（含税）：人民币      元，大写：        元整。（以上各合计项与报价一览表中的对应项均一致相符，如不一致以报价一览表为准）</w:t>
            </w:r>
          </w:p>
        </w:tc>
      </w:tr>
    </w:tbl>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二、供货要求</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1.运输、保管及保险</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（1）</w:t>
      </w:r>
      <w:r>
        <w:rPr>
          <w:rFonts w:hint="eastAsia" w:ascii="仿宋" w:hAnsi="仿宋" w:eastAsia="仿宋" w:cs="仿宋"/>
          <w:sz w:val="32"/>
          <w:szCs w:val="32"/>
        </w:rPr>
        <w:t>乙方</w:t>
      </w:r>
      <w:r>
        <w:rPr>
          <w:rFonts w:hint="eastAsia" w:ascii="仿宋" w:hAnsi="仿宋" w:eastAsia="仿宋" w:cs="仿宋"/>
          <w:sz w:val="32"/>
          <w:szCs w:val="32"/>
          <w:lang w:eastAsia="zh-Hans"/>
        </w:rPr>
        <w:t>负责货物到现场过程中的全部运输及费用，包括装卸车、货物运至采购人指定现场的搬运费用等。</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（2）货物保管由</w:t>
      </w:r>
      <w:r>
        <w:rPr>
          <w:rFonts w:hint="eastAsia" w:ascii="仿宋" w:hAnsi="仿宋" w:eastAsia="仿宋" w:cs="仿宋"/>
          <w:sz w:val="32"/>
          <w:szCs w:val="32"/>
        </w:rPr>
        <w:t>乙方</w:t>
      </w:r>
      <w:r>
        <w:rPr>
          <w:rFonts w:hint="eastAsia" w:ascii="仿宋" w:hAnsi="仿宋" w:eastAsia="仿宋" w:cs="仿宋"/>
          <w:sz w:val="32"/>
          <w:szCs w:val="32"/>
          <w:lang w:eastAsia="zh-Hans"/>
        </w:rPr>
        <w:t>负责，直至安装、调试和验收完毕。</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（3）货物在安装调试验收合格前的保险由</w:t>
      </w:r>
      <w:r>
        <w:rPr>
          <w:rFonts w:hint="eastAsia" w:ascii="仿宋" w:hAnsi="仿宋" w:eastAsia="仿宋" w:cs="仿宋"/>
          <w:sz w:val="32"/>
          <w:szCs w:val="32"/>
        </w:rPr>
        <w:t>乙方</w:t>
      </w:r>
      <w:r>
        <w:rPr>
          <w:rFonts w:hint="eastAsia" w:ascii="仿宋" w:hAnsi="仿宋" w:eastAsia="仿宋" w:cs="仿宋"/>
          <w:sz w:val="32"/>
          <w:szCs w:val="32"/>
          <w:lang w:eastAsia="zh-Hans"/>
        </w:rPr>
        <w:t>负责。</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（4）</w:t>
      </w:r>
      <w:r>
        <w:rPr>
          <w:rFonts w:hint="eastAsia" w:ascii="仿宋" w:hAnsi="仿宋" w:eastAsia="仿宋" w:cs="仿宋"/>
          <w:sz w:val="32"/>
          <w:szCs w:val="32"/>
        </w:rPr>
        <w:t>乙方</w:t>
      </w:r>
      <w:r>
        <w:rPr>
          <w:rFonts w:hint="eastAsia" w:ascii="仿宋" w:hAnsi="仿宋" w:eastAsia="仿宋" w:cs="仿宋"/>
          <w:sz w:val="32"/>
          <w:szCs w:val="32"/>
          <w:lang w:eastAsia="zh-Hans"/>
        </w:rPr>
        <w:t>负责其派出的现场安装调试人员人身意外保险。</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2.项目调试要求</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（1）</w:t>
      </w:r>
      <w:r>
        <w:rPr>
          <w:rFonts w:hint="eastAsia" w:ascii="仿宋" w:hAnsi="仿宋" w:eastAsia="仿宋" w:cs="仿宋"/>
          <w:sz w:val="32"/>
          <w:szCs w:val="32"/>
        </w:rPr>
        <w:t>乙方</w:t>
      </w:r>
      <w:r>
        <w:rPr>
          <w:rFonts w:hint="eastAsia" w:ascii="仿宋" w:hAnsi="仿宋" w:eastAsia="仿宋" w:cs="仿宋"/>
          <w:sz w:val="32"/>
          <w:szCs w:val="32"/>
          <w:lang w:eastAsia="zh-Hans"/>
        </w:rPr>
        <w:t>负责在本项目内容的安装地点进行安装调试；</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（2）安装所需工具设施物料由</w:t>
      </w:r>
      <w:r>
        <w:rPr>
          <w:rFonts w:hint="eastAsia" w:ascii="仿宋" w:hAnsi="仿宋" w:eastAsia="仿宋" w:cs="仿宋"/>
          <w:sz w:val="32"/>
          <w:szCs w:val="32"/>
        </w:rPr>
        <w:t>乙方</w:t>
      </w:r>
      <w:r>
        <w:rPr>
          <w:rFonts w:hint="eastAsia" w:ascii="仿宋" w:hAnsi="仿宋" w:eastAsia="仿宋" w:cs="仿宋"/>
          <w:sz w:val="32"/>
          <w:szCs w:val="32"/>
          <w:lang w:eastAsia="zh-Hans"/>
        </w:rPr>
        <w:t>自备、自费运到现场，完工后自费搬走；</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（3）</w:t>
      </w:r>
      <w:r>
        <w:rPr>
          <w:rFonts w:hint="eastAsia" w:ascii="仿宋" w:hAnsi="仿宋" w:eastAsia="仿宋" w:cs="仿宋"/>
          <w:sz w:val="32"/>
          <w:szCs w:val="32"/>
        </w:rPr>
        <w:t>乙方</w:t>
      </w:r>
      <w:r>
        <w:rPr>
          <w:rFonts w:hint="eastAsia" w:ascii="仿宋" w:hAnsi="仿宋" w:eastAsia="仿宋" w:cs="仿宋"/>
          <w:sz w:val="32"/>
          <w:szCs w:val="32"/>
          <w:lang w:eastAsia="zh-Hans"/>
        </w:rPr>
        <w:t>必须提供设备安装、集成及调测服务，并确保设备正常运行；</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（4）</w:t>
      </w:r>
      <w:r>
        <w:rPr>
          <w:rFonts w:hint="eastAsia" w:ascii="仿宋" w:hAnsi="仿宋" w:eastAsia="仿宋" w:cs="仿宋"/>
          <w:sz w:val="32"/>
          <w:szCs w:val="32"/>
        </w:rPr>
        <w:t>乙方</w:t>
      </w:r>
      <w:r>
        <w:rPr>
          <w:rFonts w:hint="eastAsia" w:ascii="仿宋" w:hAnsi="仿宋" w:eastAsia="仿宋" w:cs="仿宋"/>
          <w:sz w:val="32"/>
          <w:szCs w:val="32"/>
          <w:lang w:eastAsia="zh-Hans"/>
        </w:rPr>
        <w:t>应设安装负责人，负责安装协调管理工作；</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（5）设备的拆箱、安装、通电、调试等项工作由</w:t>
      </w:r>
      <w:r>
        <w:rPr>
          <w:rFonts w:hint="eastAsia" w:ascii="仿宋" w:hAnsi="仿宋" w:eastAsia="仿宋" w:cs="仿宋"/>
          <w:sz w:val="32"/>
          <w:szCs w:val="32"/>
        </w:rPr>
        <w:t>乙方</w:t>
      </w:r>
      <w:r>
        <w:rPr>
          <w:rFonts w:hint="eastAsia" w:ascii="仿宋" w:hAnsi="仿宋" w:eastAsia="仿宋" w:cs="仿宋"/>
          <w:sz w:val="32"/>
          <w:szCs w:val="32"/>
          <w:lang w:eastAsia="zh-Hans"/>
        </w:rPr>
        <w:t>负责，但必须在采购人指定人员的参与下进行。</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（6）调试：按国家相关验收规范进行。</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3.验收标准</w:t>
      </w:r>
    </w:p>
    <w:p>
      <w:pPr>
        <w:widowControl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（1）乙方货物经过甲方组织的验收后，签署验收报告，产品保修期自验收合格之日起算，由乙方提供产品保修文件。</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w:t>
      </w:r>
      <w:r>
        <w:rPr>
          <w:rFonts w:hint="eastAsia" w:ascii="仿宋" w:hAnsi="仿宋" w:eastAsia="仿宋" w:cs="仿宋"/>
          <w:sz w:val="32"/>
          <w:szCs w:val="32"/>
        </w:rPr>
        <w:t>2</w:t>
      </w:r>
      <w:r>
        <w:rPr>
          <w:rFonts w:hint="eastAsia" w:ascii="仿宋" w:hAnsi="仿宋" w:eastAsia="仿宋" w:cs="仿宋"/>
          <w:sz w:val="32"/>
          <w:szCs w:val="32"/>
          <w:lang w:eastAsia="zh-Hans"/>
        </w:rPr>
        <w:t>）货物为原厂制造商制造的全新产品，整机无污染，无侵权行为、表面无划损、无任何缺陷隐患，在中国境内可依常规安全合法使用；</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w:t>
      </w:r>
      <w:r>
        <w:rPr>
          <w:rFonts w:hint="eastAsia" w:ascii="仿宋" w:hAnsi="仿宋" w:eastAsia="仿宋" w:cs="仿宋"/>
          <w:sz w:val="32"/>
          <w:szCs w:val="32"/>
        </w:rPr>
        <w:t>3</w:t>
      </w:r>
      <w:r>
        <w:rPr>
          <w:rFonts w:hint="eastAsia" w:ascii="仿宋" w:hAnsi="仿宋" w:eastAsia="仿宋" w:cs="仿宋"/>
          <w:sz w:val="32"/>
          <w:szCs w:val="32"/>
          <w:lang w:eastAsia="zh-Hans"/>
        </w:rPr>
        <w:t>）</w:t>
      </w:r>
      <w:r>
        <w:rPr>
          <w:rFonts w:hint="eastAsia" w:ascii="仿宋" w:hAnsi="仿宋" w:eastAsia="仿宋" w:cs="仿宋"/>
          <w:sz w:val="32"/>
          <w:szCs w:val="32"/>
        </w:rPr>
        <w:t>乙方</w:t>
      </w:r>
      <w:r>
        <w:rPr>
          <w:rFonts w:hint="eastAsia" w:ascii="仿宋" w:hAnsi="仿宋" w:eastAsia="仿宋" w:cs="仿宋"/>
          <w:sz w:val="32"/>
          <w:szCs w:val="32"/>
          <w:lang w:eastAsia="zh-Hans"/>
        </w:rPr>
        <w:t>应将关键主机设备的用户手册、保修手册、有关单证资料及配备件、随机工具等交付给采购人，使用操作及安全须知等重要资料应附有中文说明；</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w:t>
      </w:r>
      <w:r>
        <w:rPr>
          <w:rFonts w:hint="eastAsia" w:ascii="仿宋" w:hAnsi="仿宋" w:eastAsia="仿宋" w:cs="仿宋"/>
          <w:sz w:val="32"/>
          <w:szCs w:val="32"/>
        </w:rPr>
        <w:t>4</w:t>
      </w:r>
      <w:r>
        <w:rPr>
          <w:rFonts w:hint="eastAsia" w:ascii="仿宋" w:hAnsi="仿宋" w:eastAsia="仿宋" w:cs="仿宋"/>
          <w:sz w:val="32"/>
          <w:szCs w:val="32"/>
          <w:lang w:eastAsia="zh-Hans"/>
        </w:rPr>
        <w:t>）采购人按</w:t>
      </w:r>
      <w:r>
        <w:rPr>
          <w:rFonts w:hint="eastAsia" w:ascii="仿宋" w:hAnsi="仿宋" w:eastAsia="仿宋" w:cs="仿宋"/>
          <w:sz w:val="32"/>
          <w:szCs w:val="32"/>
        </w:rPr>
        <w:t>乙方</w:t>
      </w:r>
      <w:r>
        <w:rPr>
          <w:rFonts w:hint="eastAsia" w:ascii="仿宋" w:hAnsi="仿宋" w:eastAsia="仿宋" w:cs="仿宋"/>
          <w:sz w:val="32"/>
          <w:szCs w:val="32"/>
          <w:lang w:eastAsia="zh-Hans"/>
        </w:rPr>
        <w:t>提供的供货清单、检验产品合格证、使用说明书和其它的技术资料，检查产品及附件是否完整无损，技术资料是否与采购人的要求相符。如有损坏、缺件等情况，</w:t>
      </w:r>
      <w:r>
        <w:rPr>
          <w:rFonts w:hint="eastAsia" w:ascii="仿宋" w:hAnsi="仿宋" w:eastAsia="仿宋" w:cs="仿宋"/>
          <w:sz w:val="32"/>
          <w:szCs w:val="32"/>
        </w:rPr>
        <w:t>乙方</w:t>
      </w:r>
      <w:r>
        <w:rPr>
          <w:rFonts w:hint="eastAsia" w:ascii="仿宋" w:hAnsi="仿宋" w:eastAsia="仿宋" w:cs="仿宋"/>
          <w:sz w:val="32"/>
          <w:szCs w:val="32"/>
          <w:lang w:eastAsia="zh-Hans"/>
        </w:rPr>
        <w:t>自行负责；</w:t>
      </w:r>
    </w:p>
    <w:p>
      <w:pPr>
        <w:widowControl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（5）当满足以下条件时，甲方才向乙方签发货物验收报告：</w:t>
      </w:r>
    </w:p>
    <w:p>
      <w:pPr>
        <w:widowControl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a、乙方已按照合同规定提供了全部产品及完整的技术资料。</w:t>
      </w:r>
    </w:p>
    <w:p>
      <w:pPr>
        <w:widowControl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b、货物符合招标文件技术规格书的要求，性能满足要求。</w:t>
      </w:r>
    </w:p>
    <w:p>
      <w:pPr>
        <w:widowControl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c、货物具备产品合格证。</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4.质量保证期及售后服务</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（1）维修响应及故障解决时间</w:t>
      </w:r>
      <w:r>
        <w:rPr>
          <w:rFonts w:hint="eastAsia" w:ascii="仿宋" w:hAnsi="仿宋" w:eastAsia="仿宋" w:cs="仿宋"/>
          <w:sz w:val="32"/>
          <w:szCs w:val="32"/>
        </w:rPr>
        <w:t>：</w:t>
      </w:r>
      <w:r>
        <w:rPr>
          <w:rFonts w:hint="eastAsia" w:ascii="仿宋" w:hAnsi="仿宋" w:eastAsia="仿宋" w:cs="仿宋"/>
          <w:sz w:val="32"/>
          <w:szCs w:val="32"/>
          <w:lang w:eastAsia="zh-Hans"/>
        </w:rPr>
        <w:t>在质保期内向</w:t>
      </w:r>
      <w:r>
        <w:rPr>
          <w:rFonts w:hint="eastAsia" w:ascii="仿宋" w:hAnsi="仿宋" w:eastAsia="仿宋" w:cs="仿宋"/>
          <w:sz w:val="32"/>
          <w:szCs w:val="32"/>
        </w:rPr>
        <w:t>甲方</w:t>
      </w:r>
      <w:r>
        <w:rPr>
          <w:rFonts w:hint="eastAsia" w:ascii="仿宋" w:hAnsi="仿宋" w:eastAsia="仿宋" w:cs="仿宋"/>
          <w:sz w:val="32"/>
          <w:szCs w:val="32"/>
          <w:lang w:eastAsia="zh-Hans"/>
        </w:rPr>
        <w:t>提供</w:t>
      </w:r>
      <w:r>
        <w:rPr>
          <w:rFonts w:hint="eastAsia" w:ascii="仿宋" w:hAnsi="仿宋" w:eastAsia="仿宋" w:cs="仿宋"/>
          <w:sz w:val="32"/>
          <w:szCs w:val="32"/>
          <w:u w:val="single"/>
          <w:lang w:eastAsia="zh-Hans"/>
        </w:rPr>
        <w:t xml:space="preserve">  7*24   </w:t>
      </w:r>
      <w:r>
        <w:rPr>
          <w:rFonts w:hint="eastAsia" w:ascii="仿宋" w:hAnsi="仿宋" w:eastAsia="仿宋" w:cs="仿宋"/>
          <w:sz w:val="32"/>
          <w:szCs w:val="32"/>
          <w:lang w:eastAsia="zh-Hans"/>
        </w:rPr>
        <w:t>小时技术支持与上门现场服务，提供专门固定的报障服务电话和指定专人负责，可采取电话指导、上门维护等多种方式，</w:t>
      </w:r>
      <w:r>
        <w:rPr>
          <w:rFonts w:hint="eastAsia" w:ascii="仿宋" w:hAnsi="仿宋" w:eastAsia="仿宋" w:cs="仿宋"/>
          <w:sz w:val="32"/>
          <w:szCs w:val="32"/>
        </w:rPr>
        <w:t>乙方</w:t>
      </w:r>
      <w:r>
        <w:rPr>
          <w:rFonts w:hint="eastAsia" w:ascii="仿宋" w:hAnsi="仿宋" w:eastAsia="仿宋" w:cs="仿宋"/>
          <w:sz w:val="32"/>
          <w:szCs w:val="32"/>
          <w:lang w:eastAsia="zh-Hans"/>
        </w:rPr>
        <w:t>须保证在接到维护电话</w:t>
      </w:r>
      <w:r>
        <w:rPr>
          <w:rFonts w:hint="eastAsia" w:ascii="仿宋" w:hAnsi="仿宋" w:eastAsia="仿宋" w:cs="仿宋"/>
          <w:sz w:val="32"/>
          <w:szCs w:val="32"/>
          <w:u w:val="single"/>
          <w:lang w:eastAsia="zh-Hans"/>
        </w:rPr>
        <w:t xml:space="preserve">  2   </w:t>
      </w:r>
      <w:r>
        <w:rPr>
          <w:rFonts w:hint="eastAsia" w:ascii="仿宋" w:hAnsi="仿宋" w:eastAsia="仿宋" w:cs="仿宋"/>
          <w:sz w:val="32"/>
          <w:szCs w:val="32"/>
          <w:lang w:eastAsia="zh-Hans"/>
        </w:rPr>
        <w:t>小时内响应，</w:t>
      </w:r>
      <w:r>
        <w:rPr>
          <w:rFonts w:hint="eastAsia" w:ascii="仿宋" w:hAnsi="仿宋" w:eastAsia="仿宋" w:cs="仿宋"/>
          <w:sz w:val="32"/>
          <w:szCs w:val="32"/>
          <w:u w:val="single"/>
          <w:lang w:eastAsia="zh-Hans"/>
        </w:rPr>
        <w:t xml:space="preserve">   12  </w:t>
      </w:r>
      <w:r>
        <w:rPr>
          <w:rFonts w:hint="eastAsia" w:ascii="仿宋" w:hAnsi="仿宋" w:eastAsia="仿宋" w:cs="仿宋"/>
          <w:sz w:val="32"/>
          <w:szCs w:val="32"/>
          <w:lang w:eastAsia="zh-Hans"/>
        </w:rPr>
        <w:t>小时</w:t>
      </w:r>
      <w:r>
        <w:rPr>
          <w:rFonts w:hint="eastAsia" w:ascii="仿宋" w:hAnsi="仿宋" w:eastAsia="仿宋" w:cs="仿宋"/>
          <w:sz w:val="32"/>
          <w:szCs w:val="32"/>
        </w:rPr>
        <w:t>内</w:t>
      </w:r>
      <w:r>
        <w:rPr>
          <w:rFonts w:hint="eastAsia" w:ascii="仿宋" w:hAnsi="仿宋" w:eastAsia="仿宋" w:cs="仿宋"/>
          <w:sz w:val="32"/>
          <w:szCs w:val="32"/>
          <w:lang w:eastAsia="zh-Hans"/>
        </w:rPr>
        <w:t xml:space="preserve">到场，并在   </w:t>
      </w:r>
      <w:r>
        <w:rPr>
          <w:rFonts w:hint="eastAsia" w:ascii="仿宋" w:hAnsi="仿宋" w:eastAsia="仿宋" w:cs="仿宋"/>
          <w:sz w:val="32"/>
          <w:szCs w:val="32"/>
          <w:u w:val="single"/>
          <w:lang w:eastAsia="zh-Hans"/>
        </w:rPr>
        <w:t xml:space="preserve">24   </w:t>
      </w:r>
      <w:r>
        <w:rPr>
          <w:rFonts w:hint="eastAsia" w:ascii="仿宋" w:hAnsi="仿宋" w:eastAsia="仿宋" w:cs="仿宋"/>
          <w:sz w:val="32"/>
          <w:szCs w:val="32"/>
          <w:lang w:eastAsia="zh-Hans"/>
        </w:rPr>
        <w:t>小时内恢复设备正常运行。在质保期内，如</w:t>
      </w:r>
      <w:r>
        <w:rPr>
          <w:rFonts w:hint="eastAsia" w:ascii="仿宋" w:hAnsi="仿宋" w:eastAsia="仿宋" w:cs="仿宋"/>
          <w:sz w:val="32"/>
          <w:szCs w:val="32"/>
          <w:u w:val="single"/>
          <w:lang w:eastAsia="zh-Hans"/>
        </w:rPr>
        <w:t xml:space="preserve">   24  </w:t>
      </w:r>
      <w:r>
        <w:rPr>
          <w:rFonts w:hint="eastAsia" w:ascii="仿宋" w:hAnsi="仿宋" w:eastAsia="仿宋" w:cs="仿宋"/>
          <w:sz w:val="32"/>
          <w:szCs w:val="32"/>
          <w:lang w:eastAsia="zh-Hans"/>
        </w:rPr>
        <w:t>小时内无法修复设备，提供替代设备给</w:t>
      </w:r>
      <w:r>
        <w:rPr>
          <w:rFonts w:hint="eastAsia" w:ascii="仿宋" w:hAnsi="仿宋" w:eastAsia="仿宋" w:cs="仿宋"/>
          <w:sz w:val="32"/>
          <w:szCs w:val="32"/>
        </w:rPr>
        <w:t>甲方</w:t>
      </w:r>
      <w:r>
        <w:rPr>
          <w:rFonts w:hint="eastAsia" w:ascii="仿宋" w:hAnsi="仿宋" w:eastAsia="仿宋" w:cs="仿宋"/>
          <w:sz w:val="32"/>
          <w:szCs w:val="32"/>
          <w:lang w:eastAsia="zh-Hans"/>
        </w:rPr>
        <w:t>使用，直到故障设备修复正常使用为止。</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（2）免费保修期：产品整体免费保修期为</w:t>
      </w:r>
      <w:r>
        <w:rPr>
          <w:rFonts w:hint="eastAsia" w:ascii="仿宋" w:hAnsi="仿宋" w:eastAsia="仿宋" w:cs="仿宋"/>
          <w:sz w:val="32"/>
          <w:szCs w:val="32"/>
          <w:lang w:val="en-US" w:eastAsia="zh-CN"/>
        </w:rPr>
        <w:t>2</w:t>
      </w:r>
      <w:r>
        <w:rPr>
          <w:rFonts w:hint="eastAsia" w:ascii="仿宋" w:hAnsi="仿宋" w:eastAsia="仿宋" w:cs="仿宋"/>
          <w:sz w:val="32"/>
          <w:szCs w:val="32"/>
          <w:lang w:eastAsia="zh-Hans"/>
        </w:rPr>
        <w:t>年，如产品技术参数中有特别要求的，按产品技术参数执行。自本项目验收完成之日起计算，在质保期内设备的质量问题均由</w:t>
      </w:r>
      <w:r>
        <w:rPr>
          <w:rFonts w:hint="eastAsia" w:ascii="仿宋" w:hAnsi="仿宋" w:eastAsia="仿宋" w:cs="仿宋"/>
          <w:sz w:val="32"/>
          <w:szCs w:val="32"/>
        </w:rPr>
        <w:t>乙方</w:t>
      </w:r>
      <w:r>
        <w:rPr>
          <w:rFonts w:hint="eastAsia" w:ascii="仿宋" w:hAnsi="仿宋" w:eastAsia="仿宋" w:cs="仿宋"/>
          <w:sz w:val="32"/>
          <w:szCs w:val="32"/>
          <w:lang w:eastAsia="zh-Hans"/>
        </w:rPr>
        <w:t>负责免费维修，包括本项目所有设备、零配件免费更换；对现场不能及时完成维修的，应当先行更换故障设备使之恢复正常运行。</w:t>
      </w:r>
    </w:p>
    <w:p>
      <w:pPr>
        <w:widowControl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（3）在保修期间非人为破坏，都应列入保修范围内。乙方须保证以合理的价格提供备件和保养服务，当发生故障时，乙方须按质保期内同样的要求进行维修处理。</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三、付款方式</w:t>
      </w:r>
    </w:p>
    <w:p>
      <w:pPr>
        <w:widowControl w:val="0"/>
        <w:spacing w:line="560" w:lineRule="exact"/>
        <w:ind w:firstLine="640" w:firstLineChars="200"/>
        <w:jc w:val="left"/>
        <w:rPr>
          <w:rFonts w:ascii="仿宋" w:hAnsi="仿宋" w:eastAsia="仿宋" w:cs="仿宋"/>
          <w:sz w:val="32"/>
          <w:szCs w:val="32"/>
          <w:lang w:eastAsia="zh-Hans"/>
        </w:rPr>
      </w:pPr>
      <w:bookmarkStart w:id="95" w:name="OLE_LINK24"/>
      <w:r>
        <w:rPr>
          <w:rFonts w:hint="eastAsia" w:ascii="仿宋" w:hAnsi="仿宋" w:eastAsia="仿宋" w:cs="仿宋"/>
          <w:sz w:val="32"/>
          <w:szCs w:val="32"/>
          <w:lang w:eastAsia="zh-Hans"/>
        </w:rPr>
        <w:t>（1）合同签订生效后，采购人在收到等额发票后</w:t>
      </w:r>
      <w:r>
        <w:rPr>
          <w:rFonts w:hint="eastAsia" w:ascii="仿宋" w:hAnsi="仿宋" w:eastAsia="仿宋" w:cs="仿宋"/>
          <w:sz w:val="32"/>
          <w:szCs w:val="32"/>
          <w:u w:val="single"/>
        </w:rPr>
        <w:t>60</w:t>
      </w:r>
      <w:r>
        <w:rPr>
          <w:rFonts w:hint="eastAsia" w:ascii="仿宋" w:hAnsi="仿宋" w:eastAsia="仿宋" w:cs="仿宋"/>
          <w:sz w:val="32"/>
          <w:szCs w:val="32"/>
          <w:lang w:eastAsia="zh-Hans"/>
        </w:rPr>
        <w:t>个工作日内，采购人需向</w:t>
      </w:r>
      <w:r>
        <w:rPr>
          <w:rFonts w:hint="eastAsia" w:ascii="仿宋" w:hAnsi="仿宋" w:eastAsia="仿宋" w:cs="仿宋"/>
          <w:sz w:val="32"/>
          <w:szCs w:val="32"/>
        </w:rPr>
        <w:t>乙方</w:t>
      </w:r>
      <w:r>
        <w:rPr>
          <w:rFonts w:hint="eastAsia" w:ascii="仿宋" w:hAnsi="仿宋" w:eastAsia="仿宋" w:cs="仿宋"/>
          <w:sz w:val="32"/>
          <w:szCs w:val="32"/>
          <w:lang w:eastAsia="zh-Hans"/>
        </w:rPr>
        <w:t xml:space="preserve">支付合同总金额的 </w:t>
      </w:r>
      <w:r>
        <w:rPr>
          <w:rFonts w:hint="eastAsia" w:ascii="仿宋" w:hAnsi="仿宋" w:eastAsia="仿宋" w:cs="仿宋"/>
          <w:sz w:val="32"/>
          <w:szCs w:val="32"/>
          <w:u w:val="single"/>
        </w:rPr>
        <w:t>30</w:t>
      </w:r>
      <w:r>
        <w:rPr>
          <w:rFonts w:hint="eastAsia" w:ascii="仿宋" w:hAnsi="仿宋" w:eastAsia="仿宋" w:cs="仿宋"/>
          <w:sz w:val="32"/>
          <w:szCs w:val="32"/>
          <w:lang w:eastAsia="zh-Hans"/>
        </w:rPr>
        <w:t>%。</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（2）货到安装验收合格后，采购人在收到等额发票后，采购人向</w:t>
      </w:r>
      <w:r>
        <w:rPr>
          <w:rFonts w:hint="eastAsia" w:ascii="仿宋" w:hAnsi="仿宋" w:eastAsia="仿宋" w:cs="仿宋"/>
          <w:sz w:val="32"/>
          <w:szCs w:val="32"/>
        </w:rPr>
        <w:t>乙方</w:t>
      </w:r>
      <w:r>
        <w:rPr>
          <w:rFonts w:hint="eastAsia" w:ascii="仿宋" w:hAnsi="仿宋" w:eastAsia="仿宋" w:cs="仿宋"/>
          <w:sz w:val="32"/>
          <w:szCs w:val="32"/>
          <w:lang w:eastAsia="zh-Hans"/>
        </w:rPr>
        <w:t xml:space="preserve">支付合同总金额的 </w:t>
      </w:r>
      <w:r>
        <w:rPr>
          <w:rFonts w:hint="eastAsia" w:ascii="仿宋" w:hAnsi="仿宋" w:eastAsia="仿宋" w:cs="仿宋"/>
          <w:sz w:val="32"/>
          <w:szCs w:val="32"/>
          <w:u w:val="single"/>
        </w:rPr>
        <w:t>70</w:t>
      </w:r>
      <w:r>
        <w:rPr>
          <w:rFonts w:hint="eastAsia" w:ascii="仿宋" w:hAnsi="仿宋" w:eastAsia="仿宋" w:cs="仿宋"/>
          <w:sz w:val="32"/>
          <w:szCs w:val="32"/>
          <w:lang w:eastAsia="zh-Hans"/>
        </w:rPr>
        <w:t>%。</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w:t>
      </w:r>
      <w:r>
        <w:rPr>
          <w:rFonts w:hint="eastAsia" w:ascii="仿宋" w:hAnsi="仿宋" w:eastAsia="仿宋" w:cs="仿宋"/>
          <w:sz w:val="32"/>
          <w:szCs w:val="32"/>
        </w:rPr>
        <w:t>3</w:t>
      </w:r>
      <w:r>
        <w:rPr>
          <w:rFonts w:hint="eastAsia" w:ascii="仿宋" w:hAnsi="仿宋" w:eastAsia="仿宋" w:cs="仿宋"/>
          <w:sz w:val="32"/>
          <w:szCs w:val="32"/>
          <w:lang w:eastAsia="zh-Hans"/>
        </w:rPr>
        <w:t>）</w:t>
      </w:r>
      <w:r>
        <w:rPr>
          <w:rFonts w:hint="eastAsia" w:ascii="仿宋" w:hAnsi="仿宋" w:eastAsia="仿宋" w:cs="仿宋"/>
          <w:sz w:val="32"/>
          <w:szCs w:val="32"/>
        </w:rPr>
        <w:t>乙方</w:t>
      </w:r>
      <w:r>
        <w:rPr>
          <w:rFonts w:hint="eastAsia" w:ascii="仿宋" w:hAnsi="仿宋" w:eastAsia="仿宋" w:cs="仿宋"/>
          <w:sz w:val="32"/>
          <w:szCs w:val="32"/>
          <w:lang w:eastAsia="zh-Hans"/>
        </w:rPr>
        <w:t>收款时必须提供采购人收货证明、验收合格证明（加盖采购人公章）和</w:t>
      </w:r>
      <w:r>
        <w:rPr>
          <w:rFonts w:hint="eastAsia" w:ascii="仿宋" w:hAnsi="仿宋" w:eastAsia="仿宋" w:cs="仿宋"/>
          <w:sz w:val="32"/>
          <w:szCs w:val="32"/>
        </w:rPr>
        <w:t>乙方</w:t>
      </w:r>
      <w:r>
        <w:rPr>
          <w:rFonts w:hint="eastAsia" w:ascii="仿宋" w:hAnsi="仿宋" w:eastAsia="仿宋" w:cs="仿宋"/>
          <w:sz w:val="32"/>
          <w:szCs w:val="32"/>
          <w:lang w:eastAsia="zh-Hans"/>
        </w:rPr>
        <w:t>开具的正规等额发票。因采购人使用的是财政资金，采购人在前款规定的付款时间为向政府采购支付部门提出办理财政支付申请手续的时间（不含政府采购支付部门审核的时间），在规定时间内提出支付申请手续后即视为采购人已经按期支付。</w:t>
      </w:r>
    </w:p>
    <w:bookmarkEnd w:id="95"/>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四、知识产权归属</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乙方应保证本项目的投标技术、服务或其任意一部分不会产生因第三方提出侵犯其专利权、商标权或其他知识产权而引起的法律和经济纠纷；如因第三方提出其专利权、商标权或其他知识产权的起诉，则一切法律责任由乙方承担。</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五、保密</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项目实施过程中，乙方必须采取措施对本项目实施过程中的数据、源代码、技术文档、图片、视频等资料保密，否则，由于乙方过错导致的上述资料泄密的，乙方必须承担一切责任。</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六、违约责任与赔偿损失</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6.1中标人不能交货的，或交付货物提供的配套服务不符合合同约定及投标承诺的，均需偿付货款的20%的违约金并按主管部门相关规定处理。不足以弥补采购人损失的应当另行补足。</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6.2中标人所交付产品、工程或服务不符合其投标承诺的，或在投标阶段为了中标而盲目虚假承诺、低价恶性竞争，在履约阶段则通过偷工减料、以次充好而获取利润的，按主管部门相关规定处理。</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七、争议的解决</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合同执行过程中发生的任何争议，如双方不能通过友好协商解决，交由甲方所在地人民法院管辖处理。</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八、不可抗力</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任何一方由于不可抗力原因不能履行合同时，应在不可抗力事件</w:t>
      </w:r>
      <w:r>
        <w:rPr>
          <w:rFonts w:hint="eastAsia" w:ascii="仿宋" w:hAnsi="仿宋" w:eastAsia="仿宋" w:cs="仿宋"/>
          <w:sz w:val="32"/>
          <w:szCs w:val="32"/>
        </w:rPr>
        <w:t>发生</w:t>
      </w:r>
      <w:r>
        <w:rPr>
          <w:rFonts w:hint="eastAsia" w:ascii="仿宋" w:hAnsi="仿宋" w:eastAsia="仿宋" w:cs="仿宋"/>
          <w:sz w:val="32"/>
          <w:szCs w:val="32"/>
          <w:lang w:eastAsia="zh-Hans"/>
        </w:rPr>
        <w:t>后1日内向对方通报，以减轻可能给对方造成的损失，在取得有关机构的不可抗力证明或双方谅解确认后，允许延期履行或修订合同，并根据情况可部分或全部免于承担违约责任。</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九、税费</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在中国境内、外发生的与本合同执行有关的一切税费均由乙方负担。</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十、其它</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1. 本合同所有附件、采购文件、报价文件、成交通知书均为合同的有效组成部分，与本合同具有同等法律效力。个文件之间约定冲突的</w:t>
      </w:r>
      <w:r>
        <w:rPr>
          <w:rFonts w:ascii="仿宋" w:hAnsi="仿宋" w:eastAsia="仿宋" w:cs="仿宋"/>
          <w:sz w:val="32"/>
          <w:szCs w:val="32"/>
          <w:lang w:eastAsia="zh-Hans"/>
        </w:rPr>
        <w:t>，</w:t>
      </w:r>
      <w:r>
        <w:rPr>
          <w:rFonts w:hint="eastAsia" w:ascii="仿宋" w:hAnsi="仿宋" w:eastAsia="仿宋" w:cs="仿宋"/>
          <w:sz w:val="32"/>
          <w:szCs w:val="32"/>
          <w:lang w:eastAsia="zh-Hans"/>
        </w:rPr>
        <w:t>适用最有利于甲方即采购方的约定</w:t>
      </w:r>
      <w:r>
        <w:rPr>
          <w:rFonts w:ascii="仿宋" w:hAnsi="仿宋" w:eastAsia="仿宋" w:cs="仿宋"/>
          <w:sz w:val="32"/>
          <w:szCs w:val="32"/>
          <w:lang w:eastAsia="zh-Hans"/>
        </w:rPr>
        <w:t>。</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2. 在执行本合同的过程中，所有经双方签署确认的文件（包括会议纪要、补充协议、往来信函）即成为本合同的有效组成部分。如有变更，应在变更当日内书面通知对方，否则，应承担相应责任。</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3.双方信函、文件可以通过纸质信函快递方式送达到本合同中约定的地址。一方及有权机关（包括但不限于人民法院、仲裁委员会、公证处）按此地址发出信函、文书等材料即视为相对方收到，各方通讯地址发生变动的，应即时书面通知另一方，未通知的视为未变动。</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4.除甲方事先书面同意外，乙方不得部分或全部转让其应履行的合同项下的义务。</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十一、合同生效：</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1. 本合同自双方签订之日起生效。</w:t>
      </w:r>
    </w:p>
    <w:p>
      <w:pPr>
        <w:widowControl w:val="0"/>
        <w:spacing w:line="560" w:lineRule="exact"/>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2. 合同一式肆份，甲乙双方各两份。</w:t>
      </w:r>
    </w:p>
    <w:p>
      <w:pPr>
        <w:widowControl w:val="0"/>
        <w:spacing w:line="560" w:lineRule="exact"/>
        <w:ind w:firstLine="640" w:firstLineChars="200"/>
        <w:jc w:val="left"/>
        <w:rPr>
          <w:rFonts w:ascii="仿宋" w:hAnsi="仿宋" w:eastAsia="仿宋" w:cs="仿宋"/>
          <w:sz w:val="32"/>
          <w:szCs w:val="32"/>
          <w:lang w:eastAsia="zh-Hans"/>
        </w:rPr>
      </w:pPr>
    </w:p>
    <w:p>
      <w:pPr>
        <w:tabs>
          <w:tab w:val="left" w:pos="4395"/>
          <w:tab w:val="clear" w:pos="426"/>
        </w:tabs>
        <w:spacing w:line="276" w:lineRule="auto"/>
        <w:rPr>
          <w:rFonts w:ascii="仿宋" w:hAnsi="仿宋" w:eastAsia="仿宋" w:cs="仿宋"/>
          <w:bCs/>
          <w:sz w:val="24"/>
          <w:lang w:eastAsia="zh-Hans"/>
        </w:rPr>
      </w:pPr>
      <w:r>
        <w:rPr>
          <w:rFonts w:hint="eastAsia" w:ascii="仿宋" w:hAnsi="仿宋" w:eastAsia="仿宋" w:cs="仿宋"/>
          <w:bCs/>
          <w:sz w:val="24"/>
          <w:lang w:eastAsia="zh-Hans"/>
        </w:rPr>
        <w:t>甲方（盖章）：</w:t>
      </w:r>
      <w:r>
        <w:rPr>
          <w:rFonts w:hint="eastAsia" w:ascii="仿宋" w:hAnsi="仿宋" w:eastAsia="仿宋" w:cs="仿宋"/>
          <w:bCs/>
          <w:sz w:val="24"/>
          <w:lang w:eastAsia="zh-Hans"/>
        </w:rPr>
        <w:tab/>
      </w:r>
      <w:r>
        <w:rPr>
          <w:rFonts w:hint="eastAsia" w:ascii="仿宋" w:hAnsi="仿宋" w:eastAsia="仿宋" w:cs="仿宋"/>
          <w:bCs/>
          <w:sz w:val="24"/>
          <w:lang w:eastAsia="zh-Hans"/>
        </w:rPr>
        <w:t>乙方（盖章）：</w:t>
      </w:r>
    </w:p>
    <w:p>
      <w:pPr>
        <w:tabs>
          <w:tab w:val="left" w:pos="4395"/>
          <w:tab w:val="clear" w:pos="426"/>
        </w:tabs>
        <w:spacing w:line="276" w:lineRule="auto"/>
        <w:rPr>
          <w:rFonts w:ascii="仿宋" w:hAnsi="仿宋" w:eastAsia="仿宋" w:cs="仿宋"/>
          <w:bCs/>
          <w:sz w:val="24"/>
          <w:lang w:eastAsia="zh-Hans"/>
        </w:rPr>
      </w:pPr>
      <w:r>
        <w:rPr>
          <w:rFonts w:hint="eastAsia" w:ascii="仿宋" w:hAnsi="仿宋" w:eastAsia="仿宋" w:cs="仿宋"/>
          <w:bCs/>
          <w:sz w:val="24"/>
          <w:lang w:eastAsia="zh-Hans"/>
        </w:rPr>
        <w:t>代表：</w:t>
      </w:r>
      <w:r>
        <w:rPr>
          <w:rFonts w:hint="eastAsia" w:ascii="仿宋" w:hAnsi="仿宋" w:eastAsia="仿宋" w:cs="仿宋"/>
          <w:bCs/>
          <w:sz w:val="24"/>
          <w:lang w:eastAsia="zh-Hans"/>
        </w:rPr>
        <w:tab/>
      </w:r>
      <w:r>
        <w:rPr>
          <w:rFonts w:hint="eastAsia" w:ascii="仿宋" w:hAnsi="仿宋" w:eastAsia="仿宋" w:cs="仿宋"/>
          <w:bCs/>
          <w:sz w:val="24"/>
          <w:lang w:eastAsia="zh-Hans"/>
        </w:rPr>
        <w:t xml:space="preserve">代表： </w:t>
      </w:r>
    </w:p>
    <w:p>
      <w:pPr>
        <w:tabs>
          <w:tab w:val="left" w:pos="4395"/>
          <w:tab w:val="clear" w:pos="426"/>
        </w:tabs>
        <w:spacing w:line="276" w:lineRule="auto"/>
        <w:rPr>
          <w:rFonts w:ascii="仿宋" w:hAnsi="仿宋" w:eastAsia="仿宋" w:cs="仿宋"/>
          <w:bCs/>
          <w:sz w:val="24"/>
          <w:lang w:eastAsia="zh-Hans"/>
        </w:rPr>
      </w:pPr>
      <w:r>
        <w:rPr>
          <w:rFonts w:hint="eastAsia" w:ascii="仿宋" w:hAnsi="仿宋" w:eastAsia="仿宋" w:cs="仿宋"/>
          <w:bCs/>
          <w:sz w:val="24"/>
          <w:lang w:eastAsia="zh-Hans"/>
        </w:rPr>
        <w:t>签定地点：</w:t>
      </w:r>
    </w:p>
    <w:p>
      <w:pPr>
        <w:tabs>
          <w:tab w:val="left" w:pos="4395"/>
          <w:tab w:val="clear" w:pos="426"/>
        </w:tabs>
        <w:spacing w:line="276" w:lineRule="auto"/>
        <w:rPr>
          <w:rFonts w:ascii="仿宋" w:hAnsi="仿宋" w:eastAsia="仿宋" w:cs="仿宋"/>
          <w:bCs/>
          <w:sz w:val="24"/>
          <w:lang w:eastAsia="zh-Hans"/>
        </w:rPr>
      </w:pPr>
      <w:r>
        <w:rPr>
          <w:rFonts w:hint="eastAsia" w:ascii="仿宋" w:hAnsi="仿宋" w:eastAsia="仿宋" w:cs="仿宋"/>
          <w:bCs/>
          <w:sz w:val="24"/>
          <w:lang w:eastAsia="zh-Hans"/>
        </w:rPr>
        <w:t>签定日期：　　　年　　月　　日</w:t>
      </w:r>
      <w:r>
        <w:rPr>
          <w:rFonts w:hint="eastAsia" w:ascii="仿宋" w:hAnsi="仿宋" w:eastAsia="仿宋" w:cs="仿宋"/>
          <w:bCs/>
          <w:sz w:val="24"/>
          <w:lang w:eastAsia="zh-Hans"/>
        </w:rPr>
        <w:tab/>
      </w:r>
      <w:r>
        <w:rPr>
          <w:rFonts w:hint="eastAsia" w:ascii="仿宋" w:hAnsi="仿宋" w:eastAsia="仿宋" w:cs="仿宋"/>
          <w:bCs/>
          <w:sz w:val="24"/>
          <w:lang w:eastAsia="zh-Hans"/>
        </w:rPr>
        <w:t>签定日期：　　　年　　月　　日</w:t>
      </w:r>
    </w:p>
    <w:p>
      <w:pPr>
        <w:tabs>
          <w:tab w:val="left" w:pos="4395"/>
          <w:tab w:val="clear" w:pos="426"/>
        </w:tabs>
        <w:spacing w:line="276" w:lineRule="auto"/>
        <w:rPr>
          <w:rFonts w:ascii="仿宋" w:hAnsi="仿宋" w:eastAsia="仿宋" w:cs="仿宋"/>
          <w:bCs/>
          <w:sz w:val="24"/>
          <w:lang w:eastAsia="zh-Hans"/>
        </w:rPr>
      </w:pPr>
    </w:p>
    <w:p>
      <w:pPr>
        <w:tabs>
          <w:tab w:val="left" w:pos="4395"/>
          <w:tab w:val="clear" w:pos="426"/>
        </w:tabs>
        <w:spacing w:line="276" w:lineRule="auto"/>
        <w:rPr>
          <w:rFonts w:ascii="Calibri" w:hAnsi="Calibri" w:cs="Times New Roman"/>
          <w:kern w:val="2"/>
        </w:rPr>
      </w:pPr>
      <w:r>
        <w:rPr>
          <w:rFonts w:hint="eastAsia" w:ascii="仿宋" w:hAnsi="仿宋" w:eastAsia="仿宋" w:cs="仿宋"/>
          <w:bCs/>
          <w:sz w:val="24"/>
          <w:lang w:eastAsia="zh-Hans"/>
        </w:rPr>
        <w:t>注：本合同样本仅供参考，具体条款内容由采购单位和中标单位协商确定。</w:t>
      </w:r>
    </w:p>
    <w:p>
      <w:pPr>
        <w:pStyle w:val="62"/>
        <w:tabs>
          <w:tab w:val="clear" w:pos="426"/>
        </w:tabs>
      </w:pPr>
      <w:r>
        <w:br w:type="page"/>
      </w:r>
      <w:bookmarkStart w:id="96" w:name="_Toc12353"/>
      <w:r>
        <w:rPr>
          <w:rFonts w:hint="eastAsia"/>
        </w:rPr>
        <w:t>第五章 投标文件格式、附件</w:t>
      </w:r>
      <w:bookmarkEnd w:id="93"/>
      <w:bookmarkEnd w:id="94"/>
      <w:bookmarkEnd w:id="96"/>
    </w:p>
    <w:p>
      <w:pPr>
        <w:tabs>
          <w:tab w:val="clear" w:pos="426"/>
        </w:tabs>
        <w:spacing w:line="276" w:lineRule="auto"/>
      </w:pPr>
      <w:r>
        <w:rPr>
          <w:rStyle w:val="303"/>
          <w:rFonts w:hint="eastAsia" w:ascii="宋体" w:eastAsia="宋体"/>
          <w:sz w:val="24"/>
        </w:rPr>
        <w:t>特别提醒：</w:t>
      </w:r>
      <w:r>
        <w:rPr>
          <w:rFonts w:hint="eastAsia"/>
        </w:rPr>
        <w:t>投标供应商在编辑投标文件时，应严格按照招标文件提供的格式进行编写，因未按要求编写导致投标文件不予受理、无效标或废标的，一切后果由供应商自行承担。</w:t>
      </w:r>
    </w:p>
    <w:p>
      <w:pPr>
        <w:tabs>
          <w:tab w:val="clear" w:pos="426"/>
        </w:tabs>
        <w:spacing w:line="276" w:lineRule="auto"/>
      </w:pPr>
    </w:p>
    <w:p>
      <w:pPr>
        <w:tabs>
          <w:tab w:val="clear" w:pos="426"/>
        </w:tabs>
        <w:spacing w:line="276" w:lineRule="auto"/>
      </w:pPr>
    </w:p>
    <w:p>
      <w:pPr>
        <w:tabs>
          <w:tab w:val="clear" w:pos="426"/>
        </w:tabs>
        <w:spacing w:line="276" w:lineRule="auto"/>
      </w:pPr>
      <w:r>
        <w:rPr>
          <w:rFonts w:hint="eastAsia"/>
        </w:rPr>
        <w:t>投标文件组成：</w:t>
      </w:r>
    </w:p>
    <w:p>
      <w:pPr>
        <w:tabs>
          <w:tab w:val="clear" w:pos="426"/>
        </w:tabs>
        <w:spacing w:line="276" w:lineRule="auto"/>
      </w:pPr>
    </w:p>
    <w:p>
      <w:pPr>
        <w:tabs>
          <w:tab w:val="clear" w:pos="426"/>
        </w:tabs>
        <w:spacing w:line="276" w:lineRule="auto"/>
      </w:pPr>
      <w:r>
        <w:rPr>
          <w:rFonts w:hint="eastAsia"/>
        </w:rPr>
        <w:t>密封袋封条格式</w:t>
      </w:r>
    </w:p>
    <w:p>
      <w:pPr>
        <w:tabs>
          <w:tab w:val="clear" w:pos="426"/>
        </w:tabs>
        <w:spacing w:line="276" w:lineRule="auto"/>
      </w:pPr>
      <w:r>
        <w:rPr>
          <w:rFonts w:hint="eastAsia"/>
        </w:rPr>
        <w:t>投标文件封面格式</w:t>
      </w:r>
    </w:p>
    <w:p>
      <w:pPr>
        <w:tabs>
          <w:tab w:val="clear" w:pos="426"/>
        </w:tabs>
        <w:spacing w:line="276" w:lineRule="auto"/>
      </w:pPr>
      <w:r>
        <w:rPr>
          <w:rFonts w:hint="eastAsia"/>
        </w:rPr>
        <w:t>目录（目录格式自定）</w:t>
      </w:r>
    </w:p>
    <w:p>
      <w:pPr>
        <w:tabs>
          <w:tab w:val="clear" w:pos="426"/>
        </w:tabs>
        <w:spacing w:line="276" w:lineRule="auto"/>
      </w:pPr>
      <w:r>
        <w:rPr>
          <w:rFonts w:hint="eastAsia"/>
        </w:rPr>
        <w:t>评标指引表</w:t>
      </w:r>
    </w:p>
    <w:p>
      <w:pPr>
        <w:pStyle w:val="315"/>
        <w:numPr>
          <w:ilvl w:val="0"/>
          <w:numId w:val="5"/>
        </w:numPr>
        <w:spacing w:line="240" w:lineRule="auto"/>
        <w:ind w:left="567" w:leftChars="270" w:firstLineChars="0"/>
        <w:rPr>
          <w:sz w:val="21"/>
          <w:szCs w:val="21"/>
        </w:rPr>
      </w:pPr>
      <w:r>
        <w:rPr>
          <w:rFonts w:hint="eastAsia"/>
          <w:sz w:val="21"/>
          <w:szCs w:val="21"/>
        </w:rPr>
        <w:t>投标函</w:t>
      </w:r>
    </w:p>
    <w:p>
      <w:pPr>
        <w:pStyle w:val="315"/>
        <w:numPr>
          <w:ilvl w:val="0"/>
          <w:numId w:val="5"/>
        </w:numPr>
        <w:spacing w:line="240" w:lineRule="auto"/>
        <w:ind w:left="567" w:leftChars="270" w:firstLineChars="0"/>
        <w:rPr>
          <w:sz w:val="21"/>
          <w:szCs w:val="21"/>
        </w:rPr>
      </w:pPr>
      <w:r>
        <w:rPr>
          <w:rFonts w:hint="eastAsia"/>
          <w:sz w:val="21"/>
          <w:szCs w:val="21"/>
        </w:rPr>
        <w:t>政府采购投标及履约承诺函</w:t>
      </w:r>
    </w:p>
    <w:p>
      <w:pPr>
        <w:pStyle w:val="315"/>
        <w:numPr>
          <w:ilvl w:val="0"/>
          <w:numId w:val="5"/>
        </w:numPr>
        <w:spacing w:line="240" w:lineRule="auto"/>
        <w:ind w:left="567" w:leftChars="270" w:firstLineChars="0"/>
        <w:rPr>
          <w:b/>
          <w:bCs/>
          <w:sz w:val="21"/>
          <w:szCs w:val="21"/>
        </w:rPr>
      </w:pPr>
      <w:r>
        <w:rPr>
          <w:rFonts w:hint="eastAsia"/>
          <w:sz w:val="21"/>
          <w:szCs w:val="21"/>
        </w:rPr>
        <w:t>法定代表人授权委托书、法定代表人证明书</w:t>
      </w:r>
    </w:p>
    <w:p>
      <w:pPr>
        <w:pStyle w:val="315"/>
        <w:numPr>
          <w:ilvl w:val="0"/>
          <w:numId w:val="5"/>
        </w:numPr>
        <w:spacing w:line="240" w:lineRule="auto"/>
        <w:ind w:left="567" w:leftChars="270" w:firstLineChars="0"/>
        <w:rPr>
          <w:sz w:val="21"/>
          <w:szCs w:val="21"/>
        </w:rPr>
      </w:pPr>
      <w:r>
        <w:rPr>
          <w:rFonts w:hint="eastAsia"/>
          <w:sz w:val="21"/>
          <w:szCs w:val="21"/>
        </w:rPr>
        <w:t>投标人基本情况表</w:t>
      </w:r>
    </w:p>
    <w:p>
      <w:pPr>
        <w:pStyle w:val="315"/>
        <w:numPr>
          <w:ilvl w:val="0"/>
          <w:numId w:val="5"/>
        </w:numPr>
        <w:spacing w:line="240" w:lineRule="auto"/>
        <w:ind w:left="567" w:leftChars="270" w:firstLineChars="0"/>
        <w:rPr>
          <w:sz w:val="21"/>
          <w:szCs w:val="21"/>
        </w:rPr>
      </w:pPr>
      <w:r>
        <w:rPr>
          <w:rFonts w:hint="eastAsia"/>
          <w:sz w:val="21"/>
          <w:szCs w:val="21"/>
        </w:rPr>
        <w:t>开标一览表（报价表）</w:t>
      </w:r>
    </w:p>
    <w:p>
      <w:pPr>
        <w:pStyle w:val="315"/>
        <w:numPr>
          <w:ilvl w:val="0"/>
          <w:numId w:val="5"/>
        </w:numPr>
        <w:spacing w:line="240" w:lineRule="auto"/>
        <w:ind w:left="567" w:leftChars="270" w:firstLineChars="0"/>
        <w:rPr>
          <w:sz w:val="21"/>
          <w:szCs w:val="21"/>
        </w:rPr>
      </w:pPr>
      <w:r>
        <w:rPr>
          <w:rFonts w:hint="eastAsia"/>
          <w:sz w:val="21"/>
          <w:szCs w:val="21"/>
        </w:rPr>
        <w:t>投标分项报价表</w:t>
      </w:r>
    </w:p>
    <w:p>
      <w:pPr>
        <w:pStyle w:val="315"/>
        <w:numPr>
          <w:ilvl w:val="0"/>
          <w:numId w:val="5"/>
        </w:numPr>
        <w:spacing w:line="240" w:lineRule="auto"/>
        <w:ind w:left="567" w:leftChars="270" w:firstLineChars="0"/>
        <w:rPr>
          <w:sz w:val="21"/>
          <w:szCs w:val="21"/>
        </w:rPr>
      </w:pPr>
      <w:r>
        <w:rPr>
          <w:rFonts w:hint="eastAsia"/>
          <w:sz w:val="21"/>
          <w:szCs w:val="21"/>
        </w:rPr>
        <w:t>货物说明一览表</w:t>
      </w:r>
    </w:p>
    <w:p>
      <w:pPr>
        <w:pStyle w:val="315"/>
        <w:numPr>
          <w:ilvl w:val="0"/>
          <w:numId w:val="5"/>
        </w:numPr>
        <w:spacing w:line="240" w:lineRule="auto"/>
        <w:ind w:left="567" w:leftChars="270" w:firstLineChars="0"/>
        <w:rPr>
          <w:sz w:val="21"/>
          <w:szCs w:val="21"/>
        </w:rPr>
      </w:pPr>
      <w:r>
        <w:rPr>
          <w:rFonts w:hint="eastAsia"/>
          <w:sz w:val="21"/>
          <w:szCs w:val="21"/>
        </w:rPr>
        <w:t>实质性响应条款偏离表</w:t>
      </w:r>
    </w:p>
    <w:p>
      <w:pPr>
        <w:pStyle w:val="315"/>
        <w:numPr>
          <w:ilvl w:val="0"/>
          <w:numId w:val="5"/>
        </w:numPr>
        <w:spacing w:line="240" w:lineRule="auto"/>
        <w:ind w:left="567" w:leftChars="270" w:firstLineChars="0"/>
        <w:rPr>
          <w:sz w:val="21"/>
          <w:szCs w:val="21"/>
        </w:rPr>
      </w:pPr>
      <w:r>
        <w:rPr>
          <w:rFonts w:hint="eastAsia"/>
          <w:sz w:val="21"/>
          <w:szCs w:val="21"/>
        </w:rPr>
        <w:t>技术规格偏离表</w:t>
      </w:r>
    </w:p>
    <w:p>
      <w:pPr>
        <w:pStyle w:val="315"/>
        <w:numPr>
          <w:ilvl w:val="0"/>
          <w:numId w:val="5"/>
        </w:numPr>
        <w:spacing w:line="240" w:lineRule="auto"/>
        <w:ind w:left="567" w:leftChars="270" w:firstLineChars="0"/>
        <w:rPr>
          <w:sz w:val="21"/>
          <w:szCs w:val="21"/>
        </w:rPr>
      </w:pPr>
      <w:r>
        <w:rPr>
          <w:rFonts w:hint="eastAsia"/>
          <w:sz w:val="21"/>
          <w:szCs w:val="21"/>
        </w:rPr>
        <w:t>商务需求偏离表</w:t>
      </w:r>
    </w:p>
    <w:p>
      <w:pPr>
        <w:pStyle w:val="315"/>
        <w:numPr>
          <w:ilvl w:val="0"/>
          <w:numId w:val="5"/>
        </w:numPr>
        <w:spacing w:line="240" w:lineRule="auto"/>
        <w:ind w:left="567" w:leftChars="270" w:firstLineChars="0"/>
        <w:rPr>
          <w:sz w:val="21"/>
          <w:szCs w:val="21"/>
        </w:rPr>
      </w:pPr>
      <w:r>
        <w:rPr>
          <w:rFonts w:hint="eastAsia"/>
          <w:sz w:val="21"/>
          <w:szCs w:val="21"/>
        </w:rPr>
        <w:t>技术保障措施</w:t>
      </w:r>
    </w:p>
    <w:p>
      <w:pPr>
        <w:pStyle w:val="315"/>
        <w:numPr>
          <w:ilvl w:val="0"/>
          <w:numId w:val="5"/>
        </w:numPr>
        <w:spacing w:line="240" w:lineRule="auto"/>
        <w:ind w:left="567" w:leftChars="270" w:firstLineChars="0"/>
        <w:rPr>
          <w:sz w:val="21"/>
          <w:szCs w:val="21"/>
        </w:rPr>
      </w:pPr>
      <w:r>
        <w:rPr>
          <w:rFonts w:hint="eastAsia"/>
          <w:sz w:val="21"/>
          <w:szCs w:val="21"/>
        </w:rPr>
        <w:t>核心产品生产厂家售后服务支持</w:t>
      </w:r>
    </w:p>
    <w:p>
      <w:pPr>
        <w:pStyle w:val="315"/>
        <w:numPr>
          <w:ilvl w:val="0"/>
          <w:numId w:val="5"/>
        </w:numPr>
        <w:spacing w:line="240" w:lineRule="auto"/>
        <w:ind w:left="567" w:leftChars="270" w:firstLineChars="0"/>
        <w:rPr>
          <w:sz w:val="21"/>
          <w:szCs w:val="21"/>
        </w:rPr>
      </w:pPr>
      <w:r>
        <w:rPr>
          <w:rFonts w:hint="eastAsia"/>
          <w:sz w:val="21"/>
          <w:szCs w:val="21"/>
        </w:rPr>
        <w:t>投标人同类业绩</w:t>
      </w:r>
    </w:p>
    <w:p>
      <w:pPr>
        <w:pStyle w:val="315"/>
        <w:numPr>
          <w:ilvl w:val="0"/>
          <w:numId w:val="5"/>
        </w:numPr>
        <w:spacing w:line="240" w:lineRule="auto"/>
        <w:ind w:left="567" w:leftChars="270" w:firstLineChars="0"/>
        <w:rPr>
          <w:sz w:val="21"/>
          <w:szCs w:val="21"/>
        </w:rPr>
      </w:pPr>
      <w:r>
        <w:rPr>
          <w:rFonts w:hint="eastAsia"/>
          <w:sz w:val="21"/>
          <w:szCs w:val="21"/>
        </w:rPr>
        <w:t>招标代理服务费承诺书</w:t>
      </w:r>
    </w:p>
    <w:p>
      <w:pPr>
        <w:pStyle w:val="315"/>
        <w:numPr>
          <w:ilvl w:val="0"/>
          <w:numId w:val="5"/>
        </w:numPr>
        <w:spacing w:line="240" w:lineRule="auto"/>
        <w:ind w:left="567" w:leftChars="270" w:firstLineChars="0"/>
        <w:rPr>
          <w:bCs/>
          <w:sz w:val="21"/>
          <w:szCs w:val="21"/>
        </w:rPr>
      </w:pPr>
      <w:r>
        <w:rPr>
          <w:rFonts w:hint="eastAsia"/>
          <w:bCs/>
          <w:sz w:val="21"/>
          <w:szCs w:val="21"/>
        </w:rPr>
        <w:t>招标文件要求的其他内容及投标人认为需要加以说明的其他内容</w:t>
      </w:r>
    </w:p>
    <w:p>
      <w:pPr>
        <w:adjustRightInd/>
        <w:snapToGrid/>
        <w:spacing w:before="280" w:after="290" w:line="377" w:lineRule="auto"/>
        <w:jc w:val="center"/>
        <w:rPr>
          <w:b/>
          <w:sz w:val="24"/>
        </w:rPr>
      </w:pPr>
      <w:r>
        <w:br w:type="page"/>
      </w:r>
      <w:bookmarkStart w:id="97" w:name="_Toc528675178"/>
      <w:bookmarkStart w:id="98" w:name="_Toc528170806"/>
      <w:bookmarkStart w:id="99" w:name="_Toc518464366"/>
      <w:r>
        <w:rPr>
          <w:rFonts w:hint="eastAsia"/>
          <w:b/>
          <w:sz w:val="24"/>
        </w:rPr>
        <w:t>密封袋封条格式</w:t>
      </w:r>
      <w:bookmarkEnd w:id="97"/>
      <w:bookmarkEnd w:id="98"/>
      <w:bookmarkEnd w:id="99"/>
    </w:p>
    <w:p>
      <w:pPr>
        <w:tabs>
          <w:tab w:val="clear" w:pos="426"/>
        </w:tabs>
        <w:jc w:val="center"/>
        <w:rPr>
          <w:sz w:val="44"/>
          <w:szCs w:val="44"/>
          <w:u w:val="single"/>
        </w:rPr>
      </w:pPr>
    </w:p>
    <w:p>
      <w:pPr>
        <w:tabs>
          <w:tab w:val="clear" w:pos="426"/>
        </w:tabs>
        <w:jc w:val="center"/>
        <w:rPr>
          <w:sz w:val="44"/>
          <w:szCs w:val="44"/>
        </w:rPr>
      </w:pPr>
      <w:r>
        <w:rPr>
          <w:rFonts w:hint="eastAsia"/>
          <w:sz w:val="44"/>
          <w:szCs w:val="44"/>
          <w:u w:val="single"/>
        </w:rPr>
        <w:t>广东省深圳市宝安区消防救援大队2024年一级站(新建站)、二级站指挥调度系统设备购置项目</w:t>
      </w:r>
    </w:p>
    <w:p>
      <w:pPr>
        <w:tabs>
          <w:tab w:val="clear" w:pos="426"/>
        </w:tabs>
        <w:jc w:val="center"/>
      </w:pPr>
    </w:p>
    <w:p>
      <w:pPr>
        <w:tabs>
          <w:tab w:val="clear" w:pos="426"/>
        </w:tabs>
        <w:jc w:val="center"/>
      </w:pPr>
    </w:p>
    <w:p>
      <w:pPr>
        <w:tabs>
          <w:tab w:val="clear" w:pos="426"/>
        </w:tabs>
        <w:jc w:val="center"/>
        <w:rPr>
          <w:sz w:val="52"/>
          <w:szCs w:val="52"/>
        </w:rPr>
      </w:pPr>
      <w:r>
        <w:rPr>
          <w:rFonts w:hint="eastAsia"/>
          <w:sz w:val="52"/>
          <w:szCs w:val="52"/>
        </w:rPr>
        <w:t>□投标文件</w:t>
      </w:r>
    </w:p>
    <w:p>
      <w:pPr>
        <w:tabs>
          <w:tab w:val="clear" w:pos="426"/>
        </w:tabs>
        <w:jc w:val="center"/>
        <w:rPr>
          <w:sz w:val="52"/>
          <w:szCs w:val="52"/>
        </w:rPr>
      </w:pPr>
      <w:r>
        <w:rPr>
          <w:rFonts w:hint="eastAsia"/>
          <w:sz w:val="52"/>
          <w:szCs w:val="52"/>
        </w:rPr>
        <w:t>□开标信封</w:t>
      </w: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ind w:left="708" w:leftChars="337" w:right="706" w:rightChars="336"/>
        <w:rPr>
          <w:sz w:val="28"/>
          <w:szCs w:val="28"/>
        </w:rPr>
      </w:pPr>
      <w:r>
        <w:rPr>
          <w:rFonts w:hint="eastAsia"/>
          <w:sz w:val="28"/>
          <w:szCs w:val="28"/>
        </w:rPr>
        <w:t>项目编号：</w:t>
      </w:r>
    </w:p>
    <w:p>
      <w:pPr>
        <w:tabs>
          <w:tab w:val="clear" w:pos="426"/>
        </w:tabs>
        <w:ind w:left="708" w:leftChars="337"/>
        <w:rPr>
          <w:sz w:val="28"/>
          <w:szCs w:val="28"/>
        </w:rPr>
      </w:pPr>
      <w:r>
        <w:rPr>
          <w:rFonts w:hint="eastAsia"/>
          <w:sz w:val="28"/>
          <w:szCs w:val="28"/>
        </w:rPr>
        <w:t>投标供应商名称（公章)：</w:t>
      </w:r>
    </w:p>
    <w:p>
      <w:pPr>
        <w:tabs>
          <w:tab w:val="clear" w:pos="426"/>
        </w:tabs>
        <w:ind w:left="708" w:leftChars="337"/>
        <w:rPr>
          <w:sz w:val="28"/>
          <w:szCs w:val="28"/>
        </w:rPr>
      </w:pPr>
      <w:r>
        <w:rPr>
          <w:rFonts w:hint="eastAsia"/>
          <w:sz w:val="28"/>
          <w:szCs w:val="28"/>
        </w:rPr>
        <w:t>投标供应商代表（签名或盖章）：</w:t>
      </w:r>
    </w:p>
    <w:p>
      <w:pPr>
        <w:tabs>
          <w:tab w:val="clear" w:pos="426"/>
        </w:tabs>
        <w:ind w:left="708" w:leftChars="337"/>
        <w:rPr>
          <w:sz w:val="28"/>
          <w:szCs w:val="28"/>
        </w:rPr>
      </w:pPr>
      <w:r>
        <w:rPr>
          <w:rFonts w:hint="eastAsia"/>
          <w:sz w:val="28"/>
          <w:szCs w:val="28"/>
        </w:rPr>
        <w:t>投标截止日期：</w:t>
      </w:r>
      <w:r>
        <w:rPr>
          <w:sz w:val="28"/>
          <w:szCs w:val="28"/>
        </w:rPr>
        <w:t>__________年____月____日____时____分（前不得开封</w:t>
      </w:r>
      <w:r>
        <w:rPr>
          <w:rFonts w:hint="eastAsia"/>
          <w:sz w:val="28"/>
          <w:szCs w:val="28"/>
        </w:rPr>
        <w:t>）</w:t>
      </w:r>
    </w:p>
    <w:p>
      <w:pPr>
        <w:adjustRightInd/>
        <w:snapToGrid/>
        <w:spacing w:before="280" w:after="290" w:line="377" w:lineRule="auto"/>
        <w:jc w:val="center"/>
        <w:rPr>
          <w:b/>
          <w:sz w:val="24"/>
        </w:rPr>
      </w:pPr>
      <w:r>
        <w:br w:type="page"/>
      </w:r>
      <w:bookmarkStart w:id="100" w:name="_Toc518464367"/>
      <w:bookmarkStart w:id="101" w:name="_Toc528675179"/>
      <w:bookmarkStart w:id="102" w:name="_Toc528170807"/>
      <w:r>
        <w:rPr>
          <w:rFonts w:hint="eastAsia"/>
          <w:b/>
          <w:sz w:val="24"/>
        </w:rPr>
        <w:t>投标文件封面格式</w:t>
      </w:r>
      <w:bookmarkEnd w:id="100"/>
      <w:bookmarkEnd w:id="101"/>
      <w:bookmarkEnd w:id="102"/>
    </w:p>
    <w:p>
      <w:pPr>
        <w:tabs>
          <w:tab w:val="clear" w:pos="426"/>
        </w:tabs>
        <w:jc w:val="right"/>
        <w:rPr>
          <w:sz w:val="44"/>
          <w:szCs w:val="44"/>
          <w:u w:val="single"/>
        </w:rPr>
      </w:pPr>
      <w:r>
        <w:rPr>
          <w:rFonts w:hint="eastAsia"/>
          <w:sz w:val="44"/>
          <w:szCs w:val="44"/>
          <w:u w:val="single"/>
        </w:rPr>
        <w:t>正</w:t>
      </w:r>
      <w:r>
        <w:rPr>
          <w:sz w:val="44"/>
          <w:szCs w:val="44"/>
          <w:u w:val="single"/>
        </w:rPr>
        <w:t>/副本</w:t>
      </w:r>
    </w:p>
    <w:p>
      <w:pPr>
        <w:tabs>
          <w:tab w:val="clear" w:pos="426"/>
        </w:tabs>
        <w:jc w:val="center"/>
        <w:rPr>
          <w:sz w:val="44"/>
          <w:szCs w:val="44"/>
          <w:u w:val="single"/>
        </w:rPr>
      </w:pPr>
    </w:p>
    <w:p>
      <w:pPr>
        <w:tabs>
          <w:tab w:val="clear" w:pos="426"/>
        </w:tabs>
        <w:jc w:val="center"/>
        <w:rPr>
          <w:sz w:val="44"/>
          <w:szCs w:val="44"/>
        </w:rPr>
      </w:pPr>
      <w:r>
        <w:rPr>
          <w:rFonts w:hint="eastAsia"/>
          <w:sz w:val="44"/>
          <w:szCs w:val="44"/>
          <w:u w:val="single"/>
        </w:rPr>
        <w:t>广东省深圳市宝安区消防救援大队2024年一级站(新建站)、二级站指挥调度系统设备购置项目</w:t>
      </w:r>
    </w:p>
    <w:p>
      <w:pPr>
        <w:tabs>
          <w:tab w:val="clear" w:pos="426"/>
        </w:tabs>
        <w:jc w:val="center"/>
      </w:pPr>
    </w:p>
    <w:p>
      <w:pPr>
        <w:tabs>
          <w:tab w:val="clear" w:pos="426"/>
        </w:tabs>
        <w:jc w:val="center"/>
      </w:pPr>
    </w:p>
    <w:p>
      <w:pPr>
        <w:tabs>
          <w:tab w:val="clear" w:pos="426"/>
        </w:tabs>
        <w:jc w:val="center"/>
        <w:rPr>
          <w:sz w:val="52"/>
          <w:szCs w:val="52"/>
        </w:rPr>
      </w:pPr>
      <w:r>
        <w:rPr>
          <w:rFonts w:hint="eastAsia"/>
          <w:sz w:val="52"/>
          <w:szCs w:val="52"/>
        </w:rPr>
        <w:t>投标文件</w:t>
      </w:r>
    </w:p>
    <w:p>
      <w:pPr>
        <w:tabs>
          <w:tab w:val="clear" w:pos="426"/>
        </w:tabs>
        <w:jc w:val="center"/>
      </w:pPr>
    </w:p>
    <w:p>
      <w:pPr>
        <w:tabs>
          <w:tab w:val="clear" w:pos="426"/>
        </w:tabs>
        <w:jc w:val="center"/>
      </w:pPr>
    </w:p>
    <w:p>
      <w:pPr>
        <w:tabs>
          <w:tab w:val="clear" w:pos="426"/>
        </w:tabs>
      </w:pPr>
    </w:p>
    <w:p>
      <w:pPr>
        <w:tabs>
          <w:tab w:val="clear" w:pos="426"/>
        </w:tabs>
      </w:pPr>
    </w:p>
    <w:p>
      <w:pPr>
        <w:tabs>
          <w:tab w:val="clear" w:pos="426"/>
        </w:tabs>
      </w:pPr>
    </w:p>
    <w:p>
      <w:pPr>
        <w:tabs>
          <w:tab w:val="clear" w:pos="426"/>
        </w:tabs>
      </w:pPr>
    </w:p>
    <w:p>
      <w:pPr>
        <w:tabs>
          <w:tab w:val="clear" w:pos="426"/>
        </w:tabs>
        <w:ind w:left="1275" w:leftChars="607"/>
        <w:rPr>
          <w:sz w:val="28"/>
          <w:szCs w:val="28"/>
        </w:rPr>
      </w:pPr>
      <w:r>
        <w:rPr>
          <w:rFonts w:hint="eastAsia"/>
          <w:sz w:val="28"/>
          <w:szCs w:val="28"/>
        </w:rPr>
        <w:t>项目编号：</w:t>
      </w:r>
    </w:p>
    <w:p>
      <w:pPr>
        <w:tabs>
          <w:tab w:val="clear" w:pos="426"/>
        </w:tabs>
        <w:ind w:left="1275" w:leftChars="607"/>
        <w:rPr>
          <w:sz w:val="28"/>
          <w:szCs w:val="28"/>
        </w:rPr>
      </w:pPr>
      <w:r>
        <w:rPr>
          <w:rFonts w:hint="eastAsia"/>
          <w:sz w:val="28"/>
          <w:szCs w:val="28"/>
        </w:rPr>
        <w:t>投标供应商名称（公章</w:t>
      </w:r>
      <w:r>
        <w:rPr>
          <w:sz w:val="28"/>
          <w:szCs w:val="28"/>
        </w:rPr>
        <w:t>)：</w:t>
      </w:r>
    </w:p>
    <w:p>
      <w:pPr>
        <w:tabs>
          <w:tab w:val="clear" w:pos="426"/>
        </w:tabs>
        <w:ind w:left="1275" w:leftChars="607"/>
        <w:rPr>
          <w:sz w:val="28"/>
          <w:szCs w:val="28"/>
        </w:rPr>
      </w:pPr>
      <w:r>
        <w:rPr>
          <w:rFonts w:hint="eastAsia"/>
          <w:sz w:val="28"/>
          <w:szCs w:val="28"/>
        </w:rPr>
        <w:t>投标供应商代表（签名或盖章）：</w:t>
      </w:r>
    </w:p>
    <w:p>
      <w:pPr>
        <w:tabs>
          <w:tab w:val="clear" w:pos="426"/>
        </w:tabs>
        <w:ind w:left="1275" w:leftChars="607"/>
        <w:rPr>
          <w:sz w:val="28"/>
          <w:szCs w:val="28"/>
        </w:rPr>
      </w:pPr>
      <w:r>
        <w:rPr>
          <w:rFonts w:hint="eastAsia"/>
          <w:sz w:val="28"/>
          <w:szCs w:val="28"/>
        </w:rPr>
        <w:t>投标日期：</w:t>
      </w:r>
      <w:r>
        <w:rPr>
          <w:sz w:val="28"/>
          <w:szCs w:val="28"/>
        </w:rPr>
        <w:t>__________年____月____日</w:t>
      </w:r>
    </w:p>
    <w:p>
      <w:pPr>
        <w:tabs>
          <w:tab w:val="clear" w:pos="426"/>
        </w:tabs>
      </w:pPr>
    </w:p>
    <w:p>
      <w:pPr>
        <w:adjustRightInd/>
        <w:snapToGrid/>
        <w:spacing w:before="280" w:after="290" w:line="377" w:lineRule="auto"/>
        <w:jc w:val="center"/>
        <w:rPr>
          <w:b/>
          <w:sz w:val="24"/>
        </w:rPr>
      </w:pPr>
      <w:r>
        <w:br w:type="page"/>
      </w:r>
      <w:bookmarkStart w:id="103" w:name="_Toc518464368"/>
      <w:bookmarkStart w:id="104" w:name="_Toc528675180"/>
      <w:bookmarkStart w:id="105" w:name="_Toc528170808"/>
      <w:r>
        <w:rPr>
          <w:rFonts w:hint="eastAsia"/>
          <w:b/>
          <w:sz w:val="24"/>
        </w:rPr>
        <w:t>投标文件目录（目录格式自定）</w:t>
      </w:r>
      <w:bookmarkEnd w:id="103"/>
      <w:bookmarkEnd w:id="104"/>
      <w:bookmarkEnd w:id="105"/>
    </w:p>
    <w:p>
      <w:pPr>
        <w:tabs>
          <w:tab w:val="clear" w:pos="426"/>
        </w:tabs>
      </w:pPr>
      <w:r>
        <w:rPr>
          <w:rFonts w:hint="eastAsia"/>
        </w:rPr>
        <w:t>按照招标文件的要求编制投标文件相应内容，请标明各部分内容的页码。</w:t>
      </w:r>
    </w:p>
    <w:p>
      <w:pPr>
        <w:tabs>
          <w:tab w:val="clear" w:pos="426"/>
        </w:tabs>
      </w:pPr>
    </w:p>
    <w:p>
      <w:pPr>
        <w:tabs>
          <w:tab w:val="clear" w:pos="426"/>
        </w:tabs>
      </w:pPr>
    </w:p>
    <w:p>
      <w:pPr>
        <w:adjustRightInd/>
        <w:snapToGrid/>
        <w:spacing w:before="280" w:after="290" w:line="377" w:lineRule="auto"/>
        <w:jc w:val="center"/>
        <w:rPr>
          <w:b/>
          <w:sz w:val="24"/>
        </w:rPr>
      </w:pPr>
      <w:r>
        <w:br w:type="page"/>
      </w:r>
      <w:bookmarkStart w:id="106" w:name="_Toc528170809"/>
      <w:bookmarkStart w:id="107" w:name="_Toc528675181"/>
      <w:bookmarkStart w:id="108" w:name="_Toc518464369"/>
      <w:r>
        <w:rPr>
          <w:rFonts w:hint="eastAsia"/>
          <w:b/>
          <w:sz w:val="24"/>
        </w:rPr>
        <w:t>评标指引表</w:t>
      </w:r>
      <w:bookmarkEnd w:id="106"/>
      <w:bookmarkEnd w:id="107"/>
      <w:bookmarkEnd w:id="108"/>
    </w:p>
    <w:p>
      <w:pPr>
        <w:tabs>
          <w:tab w:val="clear" w:pos="426"/>
        </w:tabs>
        <w:jc w:val="center"/>
        <w:rPr>
          <w:b/>
        </w:rPr>
      </w:pPr>
      <w:r>
        <w:rPr>
          <w:rFonts w:hint="eastAsia"/>
          <w:b/>
        </w:rPr>
        <w:t>（置于投标文件的首页）</w:t>
      </w:r>
    </w:p>
    <w:p>
      <w:pPr>
        <w:tabs>
          <w:tab w:val="clear" w:pos="426"/>
        </w:tabs>
        <w:ind w:firstLine="420" w:firstLineChars="200"/>
      </w:pPr>
      <w:r>
        <w:rPr>
          <w:rFonts w:hint="eastAsia"/>
          <w:szCs w:val="21"/>
        </w:rPr>
        <w:t>为方便参与该项目的评委专家的评标，快速找到评标事项与该项目投标文件所对应的位置，请投标供应商参照下表格式，编制本项目评标指引表。</w:t>
      </w:r>
    </w:p>
    <w:p>
      <w:pPr>
        <w:pStyle w:val="7"/>
        <w:tabs>
          <w:tab w:val="clear" w:pos="426"/>
        </w:tabs>
        <w:ind w:firstLine="0"/>
      </w:pPr>
      <w:r>
        <w:rPr>
          <w:rFonts w:hint="eastAsia"/>
        </w:rPr>
        <w:t>项目名称：</w:t>
      </w:r>
    </w:p>
    <w:p>
      <w:pPr>
        <w:pStyle w:val="7"/>
        <w:tabs>
          <w:tab w:val="clear" w:pos="426"/>
        </w:tabs>
        <w:ind w:firstLine="0"/>
      </w:pPr>
      <w:r>
        <w:rPr>
          <w:rFonts w:hint="eastAsia"/>
        </w:rPr>
        <w:t>项目编号：</w:t>
      </w:r>
    </w:p>
    <w:p>
      <w:pPr>
        <w:tabs>
          <w:tab w:val="clear" w:pos="426"/>
        </w:tabs>
        <w:jc w:val="center"/>
        <w:rPr>
          <w:b/>
        </w:rPr>
      </w:pPr>
      <w:r>
        <w:rPr>
          <w:rFonts w:hint="eastAsia"/>
          <w:b/>
        </w:rPr>
        <w:t>项目评标指引表</w:t>
      </w:r>
    </w:p>
    <w:tbl>
      <w:tblPr>
        <w:tblStyle w:val="85"/>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346"/>
        <w:gridCol w:w="3857"/>
        <w:gridCol w:w="1642"/>
        <w:gridCol w:w="98"/>
        <w:gridCol w:w="1365"/>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jc w:val="center"/>
              <w:rPr>
                <w:b/>
              </w:rPr>
            </w:pPr>
            <w:r>
              <w:rPr>
                <w:rFonts w:hint="eastAsia"/>
                <w:b/>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rPr>
            </w:pPr>
            <w:r>
              <w:rPr>
                <w:rFonts w:hint="eastAsia"/>
                <w:b/>
              </w:rPr>
              <w:t>序号</w:t>
            </w:r>
          </w:p>
        </w:tc>
        <w:tc>
          <w:tcPr>
            <w:tcW w:w="4203" w:type="dxa"/>
            <w:gridSpan w:val="2"/>
            <w:vAlign w:val="center"/>
          </w:tcPr>
          <w:p>
            <w:pPr>
              <w:tabs>
                <w:tab w:val="clear" w:pos="426"/>
              </w:tabs>
              <w:adjustRightInd/>
              <w:snapToGrid/>
              <w:spacing w:line="240" w:lineRule="auto"/>
              <w:ind w:firstLine="422"/>
              <w:jc w:val="center"/>
              <w:rPr>
                <w:b/>
                <w:kern w:val="2"/>
              </w:rPr>
            </w:pPr>
            <w:r>
              <w:rPr>
                <w:rFonts w:hint="eastAsia"/>
                <w:b/>
              </w:rPr>
              <w:t>资格性检查项目</w:t>
            </w:r>
          </w:p>
        </w:tc>
        <w:tc>
          <w:tcPr>
            <w:tcW w:w="3105" w:type="dxa"/>
            <w:gridSpan w:val="3"/>
            <w:vAlign w:val="center"/>
          </w:tcPr>
          <w:p>
            <w:pPr>
              <w:tabs>
                <w:tab w:val="clear" w:pos="426"/>
              </w:tabs>
              <w:adjustRightInd/>
              <w:snapToGrid/>
              <w:spacing w:line="240" w:lineRule="auto"/>
              <w:jc w:val="center"/>
              <w:rPr>
                <w:b/>
              </w:rPr>
            </w:pPr>
            <w:r>
              <w:rPr>
                <w:rFonts w:hint="eastAsia"/>
                <w:b/>
              </w:rPr>
              <w:t>证明文件</w:t>
            </w:r>
          </w:p>
        </w:tc>
        <w:tc>
          <w:tcPr>
            <w:tcW w:w="1397" w:type="dxa"/>
            <w:vAlign w:val="center"/>
          </w:tcPr>
          <w:p>
            <w:pPr>
              <w:tabs>
                <w:tab w:val="clear" w:pos="426"/>
              </w:tabs>
              <w:adjustRightInd/>
              <w:snapToGrid/>
              <w:spacing w:line="240" w:lineRule="auto"/>
              <w:jc w:val="center"/>
              <w:rPr>
                <w:b/>
              </w:rPr>
            </w:pPr>
            <w:r>
              <w:rPr>
                <w:rFonts w:hint="eastAsia"/>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restart"/>
            <w:vAlign w:val="center"/>
          </w:tcPr>
          <w:p>
            <w:pPr>
              <w:tabs>
                <w:tab w:val="clear" w:pos="426"/>
              </w:tabs>
              <w:adjustRightInd/>
              <w:snapToGrid/>
              <w:spacing w:line="240" w:lineRule="auto"/>
              <w:jc w:val="center"/>
              <w:rPr>
                <w:b/>
              </w:rPr>
            </w:pPr>
            <w:r>
              <w:rPr>
                <w:b/>
              </w:rPr>
              <w:t>1</w:t>
            </w:r>
          </w:p>
        </w:tc>
        <w:tc>
          <w:tcPr>
            <w:tcW w:w="4203" w:type="dxa"/>
            <w:gridSpan w:val="2"/>
            <w:vMerge w:val="restart"/>
            <w:vAlign w:val="center"/>
          </w:tcPr>
          <w:p>
            <w:pPr>
              <w:tabs>
                <w:tab w:val="clear" w:pos="426"/>
              </w:tabs>
              <w:adjustRightInd/>
              <w:snapToGrid/>
              <w:spacing w:line="240" w:lineRule="auto"/>
              <w:jc w:val="center"/>
              <w:rPr>
                <w:b/>
                <w:kern w:val="2"/>
              </w:rPr>
            </w:pPr>
            <w:r>
              <w:rPr>
                <w:rFonts w:hint="eastAsia"/>
              </w:rPr>
              <w:t>投标供应商资质要求</w:t>
            </w:r>
          </w:p>
        </w:tc>
        <w:tc>
          <w:tcPr>
            <w:tcW w:w="3105" w:type="dxa"/>
            <w:gridSpan w:val="3"/>
            <w:vAlign w:val="center"/>
          </w:tcPr>
          <w:p>
            <w:pPr>
              <w:tabs>
                <w:tab w:val="clear" w:pos="426"/>
              </w:tabs>
              <w:adjustRightInd/>
              <w:snapToGrid/>
              <w:spacing w:line="240" w:lineRule="auto"/>
              <w:jc w:val="center"/>
              <w:rPr>
                <w:kern w:val="2"/>
              </w:rPr>
            </w:pPr>
            <w:r>
              <w:rPr>
                <w:rFonts w:hint="eastAsia"/>
              </w:rPr>
              <w:t>营业执照</w:t>
            </w: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rPr>
            </w:pPr>
          </w:p>
        </w:tc>
        <w:tc>
          <w:tcPr>
            <w:tcW w:w="4203" w:type="dxa"/>
            <w:gridSpan w:val="2"/>
            <w:vMerge w:val="continue"/>
            <w:vAlign w:val="center"/>
          </w:tcPr>
          <w:p>
            <w:pPr>
              <w:tabs>
                <w:tab w:val="clear" w:pos="426"/>
              </w:tabs>
              <w:adjustRightInd/>
              <w:snapToGrid/>
              <w:spacing w:line="240" w:lineRule="auto"/>
              <w:jc w:val="center"/>
            </w:pPr>
          </w:p>
        </w:tc>
        <w:tc>
          <w:tcPr>
            <w:tcW w:w="3105" w:type="dxa"/>
            <w:gridSpan w:val="3"/>
            <w:vAlign w:val="center"/>
          </w:tcPr>
          <w:p>
            <w:pPr>
              <w:tabs>
                <w:tab w:val="clear" w:pos="426"/>
              </w:tabs>
              <w:adjustRightInd/>
              <w:snapToGrid/>
              <w:spacing w:line="240" w:lineRule="auto"/>
              <w:jc w:val="cente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rPr>
            </w:pPr>
          </w:p>
        </w:tc>
        <w:tc>
          <w:tcPr>
            <w:tcW w:w="4203" w:type="dxa"/>
            <w:gridSpan w:val="2"/>
            <w:vMerge w:val="continue"/>
            <w:vAlign w:val="center"/>
          </w:tcPr>
          <w:p>
            <w:pPr>
              <w:tabs>
                <w:tab w:val="clear" w:pos="426"/>
              </w:tabs>
              <w:adjustRightInd/>
              <w:snapToGrid/>
              <w:spacing w:line="240" w:lineRule="auto"/>
              <w:jc w:val="center"/>
            </w:pPr>
          </w:p>
        </w:tc>
        <w:tc>
          <w:tcPr>
            <w:tcW w:w="3105" w:type="dxa"/>
            <w:gridSpan w:val="3"/>
            <w:vAlign w:val="center"/>
          </w:tcPr>
          <w:p>
            <w:pPr>
              <w:tabs>
                <w:tab w:val="clear" w:pos="426"/>
              </w:tabs>
              <w:adjustRightInd/>
              <w:snapToGrid/>
              <w:spacing w:line="240" w:lineRule="auto"/>
              <w:jc w:val="cente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rPr>
            </w:pPr>
          </w:p>
        </w:tc>
        <w:tc>
          <w:tcPr>
            <w:tcW w:w="4203" w:type="dxa"/>
            <w:gridSpan w:val="2"/>
            <w:vMerge w:val="continue"/>
            <w:vAlign w:val="center"/>
          </w:tcPr>
          <w:p>
            <w:pPr>
              <w:tabs>
                <w:tab w:val="clear" w:pos="426"/>
              </w:tabs>
              <w:adjustRightInd/>
              <w:snapToGrid/>
              <w:spacing w:line="240" w:lineRule="auto"/>
              <w:jc w:val="center"/>
            </w:pPr>
          </w:p>
        </w:tc>
        <w:tc>
          <w:tcPr>
            <w:tcW w:w="3105" w:type="dxa"/>
            <w:gridSpan w:val="3"/>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rPr>
            </w:pPr>
          </w:p>
        </w:tc>
        <w:tc>
          <w:tcPr>
            <w:tcW w:w="4203" w:type="dxa"/>
            <w:gridSpan w:val="2"/>
            <w:vMerge w:val="continue"/>
            <w:vAlign w:val="center"/>
          </w:tcPr>
          <w:p>
            <w:pPr>
              <w:tabs>
                <w:tab w:val="clear" w:pos="426"/>
              </w:tabs>
              <w:adjustRightInd/>
              <w:snapToGrid/>
              <w:spacing w:line="240" w:lineRule="auto"/>
              <w:jc w:val="center"/>
            </w:pPr>
          </w:p>
        </w:tc>
        <w:tc>
          <w:tcPr>
            <w:tcW w:w="3105" w:type="dxa"/>
            <w:gridSpan w:val="3"/>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rPr>
            </w:pPr>
          </w:p>
        </w:tc>
        <w:tc>
          <w:tcPr>
            <w:tcW w:w="4203" w:type="dxa"/>
            <w:gridSpan w:val="2"/>
            <w:vMerge w:val="continue"/>
            <w:vAlign w:val="center"/>
          </w:tcPr>
          <w:p>
            <w:pPr>
              <w:tabs>
                <w:tab w:val="clear" w:pos="426"/>
              </w:tabs>
              <w:adjustRightInd/>
              <w:snapToGrid/>
              <w:spacing w:line="240" w:lineRule="auto"/>
              <w:jc w:val="center"/>
            </w:pPr>
          </w:p>
        </w:tc>
        <w:tc>
          <w:tcPr>
            <w:tcW w:w="3105" w:type="dxa"/>
            <w:gridSpan w:val="3"/>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ind w:firstLine="422"/>
              <w:jc w:val="center"/>
              <w:rPr>
                <w:b/>
                <w:kern w:val="2"/>
              </w:rPr>
            </w:pPr>
            <w:r>
              <w:rPr>
                <w:rFonts w:hint="eastAsia"/>
                <w:b/>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kern w:val="2"/>
              </w:rPr>
            </w:pPr>
            <w:r>
              <w:rPr>
                <w:rFonts w:hint="eastAsia"/>
                <w:b/>
              </w:rPr>
              <w:t>序号</w:t>
            </w:r>
          </w:p>
        </w:tc>
        <w:tc>
          <w:tcPr>
            <w:tcW w:w="5943" w:type="dxa"/>
            <w:gridSpan w:val="4"/>
            <w:vAlign w:val="center"/>
          </w:tcPr>
          <w:p>
            <w:pPr>
              <w:tabs>
                <w:tab w:val="clear" w:pos="426"/>
              </w:tabs>
              <w:adjustRightInd/>
              <w:snapToGrid/>
              <w:spacing w:line="240" w:lineRule="auto"/>
              <w:jc w:val="center"/>
              <w:rPr>
                <w:b/>
                <w:kern w:val="2"/>
              </w:rPr>
            </w:pPr>
            <w:r>
              <w:rPr>
                <w:rFonts w:hint="eastAsia"/>
                <w:b/>
              </w:rPr>
              <w:t>符合性审查项目</w:t>
            </w:r>
          </w:p>
        </w:tc>
        <w:tc>
          <w:tcPr>
            <w:tcW w:w="2762" w:type="dxa"/>
            <w:gridSpan w:val="2"/>
            <w:vAlign w:val="center"/>
          </w:tcPr>
          <w:p>
            <w:pPr>
              <w:tabs>
                <w:tab w:val="clear" w:pos="426"/>
              </w:tabs>
              <w:adjustRightInd/>
              <w:snapToGrid/>
              <w:spacing w:line="240" w:lineRule="auto"/>
              <w:jc w:val="center"/>
              <w:rPr>
                <w:b/>
                <w:kern w:val="2"/>
              </w:rPr>
            </w:pPr>
            <w:r>
              <w:rPr>
                <w:rFonts w:hint="eastAsia"/>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t>1</w:t>
            </w:r>
          </w:p>
        </w:tc>
        <w:tc>
          <w:tcPr>
            <w:tcW w:w="5943" w:type="dxa"/>
            <w:gridSpan w:val="4"/>
            <w:vAlign w:val="center"/>
          </w:tcPr>
          <w:p>
            <w:pPr>
              <w:tabs>
                <w:tab w:val="clear" w:pos="426"/>
              </w:tabs>
              <w:adjustRightInd/>
              <w:snapToGrid/>
              <w:spacing w:line="240" w:lineRule="auto"/>
            </w:pPr>
            <w:r>
              <w:rPr>
                <w:rFonts w:hint="eastAsia"/>
              </w:rPr>
              <w:t>未出现将一个包或一个标段的内容拆开投标；</w:t>
            </w:r>
          </w:p>
        </w:tc>
        <w:tc>
          <w:tcPr>
            <w:tcW w:w="2762" w:type="dxa"/>
            <w:gridSpan w:val="2"/>
            <w:vAlign w:val="center"/>
          </w:tcPr>
          <w:p>
            <w:pPr>
              <w:tabs>
                <w:tab w:val="clear" w:pos="426"/>
              </w:tabs>
              <w:adjustRightInd/>
              <w:snapToGrid/>
              <w:spacing w:line="240" w:lineRule="auto"/>
              <w:jc w:val="center"/>
              <w:rPr>
                <w:kern w:val="2"/>
              </w:rPr>
            </w:pPr>
            <w:r>
              <w:rPr>
                <w:rFonts w:hint="eastAsia"/>
              </w:rPr>
              <w:t>符合</w:t>
            </w:r>
            <w: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t>2</w:t>
            </w:r>
          </w:p>
        </w:tc>
        <w:tc>
          <w:tcPr>
            <w:tcW w:w="5943" w:type="dxa"/>
            <w:gridSpan w:val="4"/>
            <w:vAlign w:val="center"/>
          </w:tcPr>
          <w:p>
            <w:pPr>
              <w:tabs>
                <w:tab w:val="clear" w:pos="426"/>
              </w:tabs>
              <w:adjustRightInd/>
              <w:snapToGrid/>
              <w:spacing w:line="240" w:lineRule="auto"/>
            </w:pPr>
            <w:r>
              <w:rPr>
                <w:rFonts w:hint="eastAsia"/>
              </w:rPr>
              <w:t>投标文件及开标一览表按规定密封、签字、盖章</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t>3</w:t>
            </w:r>
          </w:p>
        </w:tc>
        <w:tc>
          <w:tcPr>
            <w:tcW w:w="5943" w:type="dxa"/>
            <w:gridSpan w:val="4"/>
            <w:vAlign w:val="center"/>
          </w:tcPr>
          <w:p>
            <w:pPr>
              <w:tabs>
                <w:tab w:val="clear" w:pos="426"/>
              </w:tabs>
              <w:adjustRightInd/>
              <w:snapToGrid/>
              <w:spacing w:line="240" w:lineRule="auto"/>
            </w:pPr>
            <w:r>
              <w:rPr>
                <w:rFonts w:hint="eastAsia"/>
              </w:rPr>
              <w:t>除招标文件规定允许有替代方案外，对同一项目投标时，未提供两套或两套以上的投标方案；</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t>4</w:t>
            </w:r>
          </w:p>
        </w:tc>
        <w:tc>
          <w:tcPr>
            <w:tcW w:w="5943" w:type="dxa"/>
            <w:gridSpan w:val="4"/>
            <w:vAlign w:val="center"/>
          </w:tcPr>
          <w:p>
            <w:pPr>
              <w:tabs>
                <w:tab w:val="clear" w:pos="426"/>
              </w:tabs>
              <w:adjustRightInd/>
              <w:snapToGrid/>
              <w:spacing w:line="240" w:lineRule="auto"/>
            </w:pPr>
            <w:r>
              <w:rPr>
                <w:rFonts w:hint="eastAsia"/>
              </w:rPr>
              <w:t>按照招标文件规定要求签署、盖章；投标文件有法定代表人签字、投标文件签字人有法定代表人有效授权书的；</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t>5</w:t>
            </w:r>
          </w:p>
        </w:tc>
        <w:tc>
          <w:tcPr>
            <w:tcW w:w="5943" w:type="dxa"/>
            <w:gridSpan w:val="4"/>
            <w:vAlign w:val="center"/>
          </w:tcPr>
          <w:p>
            <w:pPr>
              <w:tabs>
                <w:tab w:val="clear" w:pos="426"/>
              </w:tabs>
              <w:adjustRightInd/>
              <w:snapToGrid/>
              <w:spacing w:line="240" w:lineRule="auto"/>
            </w:pPr>
            <w:r>
              <w:rPr>
                <w:rFonts w:hint="eastAsia"/>
              </w:rPr>
              <w:t>按招标文件所提供的样式填写</w:t>
            </w:r>
            <w:r>
              <w:t>《</w:t>
            </w:r>
            <w:r>
              <w:rPr>
                <w:rFonts w:hint="eastAsia"/>
              </w:rPr>
              <w:t>投标函》；按招标文件所提供的《政府采购投标及履约承诺函》进行承诺；</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t>6</w:t>
            </w:r>
          </w:p>
        </w:tc>
        <w:tc>
          <w:tcPr>
            <w:tcW w:w="5943" w:type="dxa"/>
            <w:gridSpan w:val="4"/>
            <w:vAlign w:val="center"/>
          </w:tcPr>
          <w:p>
            <w:pPr>
              <w:tabs>
                <w:tab w:val="clear" w:pos="426"/>
              </w:tabs>
              <w:adjustRightInd/>
              <w:snapToGrid/>
              <w:spacing w:line="240" w:lineRule="auto"/>
            </w:pPr>
            <w:r>
              <w:rPr>
                <w:rFonts w:hint="eastAsia"/>
              </w:rPr>
              <w:t>投标总价或分项报价不高于财政预算限额</w:t>
            </w:r>
            <w:r>
              <w:rPr>
                <w:szCs w:val="21"/>
              </w:rPr>
              <w:t>（最高投标限价）</w:t>
            </w:r>
            <w:r>
              <w:rPr>
                <w:rFonts w:hint="eastAsia"/>
              </w:rPr>
              <w:t>；</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t>7</w:t>
            </w:r>
          </w:p>
        </w:tc>
        <w:tc>
          <w:tcPr>
            <w:tcW w:w="5943" w:type="dxa"/>
            <w:gridSpan w:val="4"/>
            <w:vAlign w:val="center"/>
          </w:tcPr>
          <w:p>
            <w:pPr>
              <w:tabs>
                <w:tab w:val="clear" w:pos="426"/>
              </w:tabs>
              <w:adjustRightInd/>
              <w:snapToGrid/>
              <w:spacing w:line="240" w:lineRule="auto"/>
            </w:pPr>
            <w:r>
              <w:rPr>
                <w:rFonts w:hint="eastAsia"/>
              </w:rPr>
              <w:t>不存在以下情形：</w:t>
            </w:r>
            <w:r>
              <w:rPr>
                <w:szCs w:val="21"/>
              </w:rPr>
              <w:t>同一项目出现两个及以上报价，且按规定无法确定哪个是有效报价；</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t>8</w:t>
            </w:r>
          </w:p>
        </w:tc>
        <w:tc>
          <w:tcPr>
            <w:tcW w:w="5943" w:type="dxa"/>
            <w:gridSpan w:val="4"/>
            <w:vAlign w:val="center"/>
          </w:tcPr>
          <w:p>
            <w:pPr>
              <w:tabs>
                <w:tab w:val="clear" w:pos="426"/>
              </w:tabs>
              <w:adjustRightInd/>
              <w:snapToGrid/>
              <w:spacing w:line="240" w:lineRule="auto"/>
            </w:pPr>
            <w:r>
              <w:rPr>
                <w:rFonts w:hint="eastAsia"/>
              </w:rPr>
              <w:t>不存在以下情形：评标委员会认为投标供应商的报价明显低于其他通过符合性审查投标供应商的报价，有可能影响产品质量或者不能诚信履约的，且不能在合理的时间内提供书面说明，或无法提交相关证明材料，投标供应商不能证明其报价合理性的；</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9</w:t>
            </w:r>
          </w:p>
        </w:tc>
        <w:tc>
          <w:tcPr>
            <w:tcW w:w="5943" w:type="dxa"/>
            <w:gridSpan w:val="4"/>
            <w:vAlign w:val="center"/>
          </w:tcPr>
          <w:p>
            <w:pPr>
              <w:tabs>
                <w:tab w:val="clear" w:pos="426"/>
              </w:tabs>
              <w:adjustRightInd/>
              <w:snapToGrid/>
              <w:spacing w:line="240" w:lineRule="auto"/>
            </w:pPr>
            <w:r>
              <w:rPr>
                <w:rFonts w:hint="eastAsia"/>
              </w:rPr>
              <w:t>投标文件载明的交货期未超过招标文件规定的期限；</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10</w:t>
            </w:r>
          </w:p>
        </w:tc>
        <w:tc>
          <w:tcPr>
            <w:tcW w:w="5943" w:type="dxa"/>
            <w:gridSpan w:val="4"/>
            <w:vAlign w:val="center"/>
          </w:tcPr>
          <w:p>
            <w:pPr>
              <w:tabs>
                <w:tab w:val="clear" w:pos="426"/>
              </w:tabs>
              <w:adjustRightInd/>
              <w:snapToGrid/>
              <w:spacing w:line="240" w:lineRule="auto"/>
            </w:pPr>
            <w:r>
              <w:rPr>
                <w:rFonts w:hint="eastAsia"/>
              </w:rPr>
              <w:t>投标文件载明的免费保修期未低于招标文件规定的期限；</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rPr>
                <w:rFonts w:hint="eastAsia"/>
              </w:rPr>
              <w:t>11</w:t>
            </w:r>
          </w:p>
        </w:tc>
        <w:tc>
          <w:tcPr>
            <w:tcW w:w="5943" w:type="dxa"/>
            <w:gridSpan w:val="4"/>
            <w:vAlign w:val="center"/>
          </w:tcPr>
          <w:p>
            <w:pPr>
              <w:tabs>
                <w:tab w:val="clear" w:pos="426"/>
              </w:tabs>
              <w:adjustRightInd/>
              <w:snapToGrid/>
              <w:spacing w:line="240" w:lineRule="auto"/>
            </w:pPr>
            <w:r>
              <w:rPr>
                <w:rFonts w:hint="eastAsia"/>
              </w:rPr>
              <w:t>所投产品、工程、服务在商务、技术等方面实质性满足招标文件要求的（是否实质性满足招标文件要求，由评标委员会根据《实质性响应条款偏离表》做出评判；</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rPr>
                <w:rFonts w:hint="eastAsia"/>
              </w:rPr>
              <w:t>12</w:t>
            </w:r>
          </w:p>
        </w:tc>
        <w:tc>
          <w:tcPr>
            <w:tcW w:w="5943" w:type="dxa"/>
            <w:gridSpan w:val="4"/>
            <w:vAlign w:val="center"/>
          </w:tcPr>
          <w:p>
            <w:pPr>
              <w:tabs>
                <w:tab w:val="clear" w:pos="426"/>
              </w:tabs>
              <w:adjustRightInd/>
              <w:snapToGrid/>
              <w:spacing w:line="240" w:lineRule="auto"/>
            </w:pPr>
            <w:r>
              <w:rPr>
                <w:rFonts w:hint="eastAsia"/>
              </w:rPr>
              <w:t>投标报价没有严重缺漏项目；投标报价没有对招标文件规定的服务清单项目及数量进行修改；采购标的响应齐全；</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13</w:t>
            </w:r>
          </w:p>
        </w:tc>
        <w:tc>
          <w:tcPr>
            <w:tcW w:w="5943" w:type="dxa"/>
            <w:gridSpan w:val="4"/>
            <w:vAlign w:val="center"/>
          </w:tcPr>
          <w:p>
            <w:pPr>
              <w:tabs>
                <w:tab w:val="clear" w:pos="426"/>
              </w:tabs>
              <w:adjustRightInd/>
              <w:snapToGrid/>
              <w:spacing w:line="240" w:lineRule="auto"/>
            </w:pPr>
            <w:r>
              <w:rPr>
                <w:rFonts w:hint="eastAsia"/>
              </w:rPr>
              <w:t>《技术规格偏离表》或《商务需求偏离表》未出现填写不全、不明或不实；</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t>1</w:t>
            </w:r>
            <w:r>
              <w:rPr>
                <w:rFonts w:hint="eastAsia"/>
              </w:rPr>
              <w:t>4</w:t>
            </w:r>
          </w:p>
        </w:tc>
        <w:tc>
          <w:tcPr>
            <w:tcW w:w="5943" w:type="dxa"/>
            <w:gridSpan w:val="4"/>
            <w:vAlign w:val="center"/>
          </w:tcPr>
          <w:p>
            <w:pPr>
              <w:tabs>
                <w:tab w:val="clear" w:pos="426"/>
              </w:tabs>
              <w:adjustRightInd/>
              <w:snapToGrid/>
              <w:spacing w:line="240" w:lineRule="auto"/>
            </w:pPr>
            <w:r>
              <w:rPr>
                <w:rFonts w:hint="eastAsia"/>
              </w:rPr>
              <w:t>投标文件不存在招标文件中规定的其它无效投标条款的；</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t>1</w:t>
            </w:r>
            <w:r>
              <w:rPr>
                <w:rFonts w:hint="eastAsia"/>
              </w:rPr>
              <w:t>5</w:t>
            </w:r>
          </w:p>
        </w:tc>
        <w:tc>
          <w:tcPr>
            <w:tcW w:w="5943" w:type="dxa"/>
            <w:gridSpan w:val="4"/>
            <w:vAlign w:val="center"/>
          </w:tcPr>
          <w:p>
            <w:pPr>
              <w:tabs>
                <w:tab w:val="clear" w:pos="426"/>
              </w:tabs>
              <w:adjustRightInd/>
              <w:snapToGrid/>
              <w:spacing w:line="240" w:lineRule="auto"/>
            </w:pPr>
            <w:r>
              <w:rPr>
                <w:rFonts w:hint="eastAsia"/>
              </w:rPr>
              <w:t>不属于法律、法规规定的投标无效的其他情形。</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ind w:firstLine="422"/>
              <w:jc w:val="center"/>
              <w:rPr>
                <w:b/>
                <w:kern w:val="2"/>
              </w:rPr>
            </w:pPr>
            <w:r>
              <w:rPr>
                <w:rFonts w:hint="eastAsia"/>
                <w:b/>
              </w:rPr>
              <w:t>三、综合评分指引（请根据项目评分表内容调整）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kern w:val="2"/>
              </w:rPr>
            </w:pPr>
            <w:r>
              <w:rPr>
                <w:rFonts w:hint="eastAsia"/>
                <w:b/>
              </w:rPr>
              <w:t>评分类别</w:t>
            </w:r>
          </w:p>
        </w:tc>
        <w:tc>
          <w:tcPr>
            <w:tcW w:w="5499" w:type="dxa"/>
            <w:gridSpan w:val="2"/>
            <w:vAlign w:val="center"/>
          </w:tcPr>
          <w:p>
            <w:pPr>
              <w:tabs>
                <w:tab w:val="clear" w:pos="426"/>
              </w:tabs>
              <w:adjustRightInd/>
              <w:snapToGrid/>
              <w:spacing w:line="240" w:lineRule="auto"/>
              <w:jc w:val="center"/>
              <w:rPr>
                <w:b/>
                <w:kern w:val="2"/>
              </w:rPr>
            </w:pPr>
            <w:r>
              <w:rPr>
                <w:rFonts w:hint="eastAsia"/>
                <w:b/>
              </w:rPr>
              <w:t>评分项目</w:t>
            </w:r>
          </w:p>
        </w:tc>
        <w:tc>
          <w:tcPr>
            <w:tcW w:w="1463" w:type="dxa"/>
            <w:gridSpan w:val="2"/>
            <w:vAlign w:val="center"/>
          </w:tcPr>
          <w:p>
            <w:pPr>
              <w:tabs>
                <w:tab w:val="clear" w:pos="426"/>
              </w:tabs>
              <w:adjustRightInd/>
              <w:snapToGrid/>
              <w:spacing w:line="240" w:lineRule="auto"/>
              <w:jc w:val="center"/>
              <w:rPr>
                <w:b/>
                <w:kern w:val="2"/>
              </w:rPr>
            </w:pPr>
            <w:r>
              <w:rPr>
                <w:rFonts w:hint="eastAsia"/>
                <w:b/>
              </w:rPr>
              <w:t>对应章节</w:t>
            </w:r>
          </w:p>
        </w:tc>
        <w:tc>
          <w:tcPr>
            <w:tcW w:w="1397" w:type="dxa"/>
            <w:vAlign w:val="center"/>
          </w:tcPr>
          <w:p>
            <w:pPr>
              <w:tabs>
                <w:tab w:val="clear" w:pos="426"/>
              </w:tabs>
              <w:adjustRightInd/>
              <w:snapToGrid/>
              <w:spacing w:line="240" w:lineRule="auto"/>
              <w:jc w:val="center"/>
              <w:rPr>
                <w:b/>
                <w:kern w:val="2"/>
              </w:rPr>
            </w:pPr>
            <w:r>
              <w:rPr>
                <w:rFonts w:hint="eastAsia"/>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kern w:val="2"/>
              </w:rPr>
            </w:pPr>
          </w:p>
        </w:tc>
        <w:tc>
          <w:tcPr>
            <w:tcW w:w="5499" w:type="dxa"/>
            <w:gridSpan w:val="2"/>
            <w:vAlign w:val="center"/>
          </w:tcPr>
          <w:p>
            <w:pPr>
              <w:tabs>
                <w:tab w:val="clear" w:pos="426"/>
              </w:tabs>
              <w:adjustRightInd/>
              <w:snapToGrid/>
              <w:spacing w:line="240" w:lineRule="auto"/>
              <w:jc w:val="cente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rPr>
            </w:pPr>
          </w:p>
        </w:tc>
        <w:tc>
          <w:tcPr>
            <w:tcW w:w="5499" w:type="dxa"/>
            <w:gridSpan w:val="2"/>
            <w:vAlign w:val="center"/>
          </w:tcPr>
          <w:p>
            <w:pPr>
              <w:tabs>
                <w:tab w:val="clear" w:pos="426"/>
              </w:tabs>
              <w:adjustRightInd/>
              <w:snapToGrid/>
              <w:spacing w:line="240" w:lineRule="auto"/>
              <w:jc w:val="center"/>
              <w:rPr>
                <w:b/>
              </w:rP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rPr>
            </w:pPr>
          </w:p>
        </w:tc>
        <w:tc>
          <w:tcPr>
            <w:tcW w:w="5499" w:type="dxa"/>
            <w:gridSpan w:val="2"/>
            <w:vAlign w:val="center"/>
          </w:tcPr>
          <w:p>
            <w:pPr>
              <w:tabs>
                <w:tab w:val="clear" w:pos="426"/>
              </w:tabs>
              <w:adjustRightInd/>
              <w:snapToGrid/>
              <w:spacing w:line="240" w:lineRule="auto"/>
              <w:jc w:val="center"/>
              <w:rPr>
                <w:b/>
              </w:rP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rPr>
            </w:pPr>
          </w:p>
        </w:tc>
        <w:tc>
          <w:tcPr>
            <w:tcW w:w="5499" w:type="dxa"/>
            <w:gridSpan w:val="2"/>
            <w:vAlign w:val="center"/>
          </w:tcPr>
          <w:p>
            <w:pPr>
              <w:tabs>
                <w:tab w:val="clear" w:pos="426"/>
              </w:tabs>
              <w:adjustRightInd/>
              <w:snapToGrid/>
              <w:spacing w:line="240" w:lineRule="auto"/>
              <w:jc w:val="center"/>
              <w:rPr>
                <w:b/>
              </w:rP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kern w:val="2"/>
              </w:rPr>
            </w:pPr>
          </w:p>
        </w:tc>
        <w:tc>
          <w:tcPr>
            <w:tcW w:w="5499" w:type="dxa"/>
            <w:gridSpan w:val="2"/>
            <w:vAlign w:val="center"/>
          </w:tcPr>
          <w:p>
            <w:pPr>
              <w:tabs>
                <w:tab w:val="clear" w:pos="426"/>
              </w:tabs>
              <w:adjustRightInd/>
              <w:snapToGrid/>
              <w:spacing w:line="240" w:lineRule="auto"/>
              <w:jc w:val="center"/>
              <w:rPr>
                <w:b/>
              </w:rP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rPr>
            </w:pPr>
          </w:p>
        </w:tc>
        <w:tc>
          <w:tcPr>
            <w:tcW w:w="5499" w:type="dxa"/>
            <w:gridSpan w:val="2"/>
            <w:vAlign w:val="center"/>
          </w:tcPr>
          <w:p>
            <w:pPr>
              <w:tabs>
                <w:tab w:val="clear" w:pos="426"/>
              </w:tabs>
              <w:adjustRightInd/>
              <w:snapToGrid/>
              <w:spacing w:line="240" w:lineRule="auto"/>
              <w:jc w:val="center"/>
              <w:rPr>
                <w:b/>
              </w:rP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bl>
    <w:p>
      <w:pPr>
        <w:tabs>
          <w:tab w:val="clear" w:pos="426"/>
        </w:tabs>
        <w:rPr>
          <w:szCs w:val="21"/>
        </w:rPr>
      </w:pPr>
      <w:r>
        <w:rPr>
          <w:rFonts w:hint="eastAsia"/>
          <w:szCs w:val="21"/>
        </w:rPr>
        <w:t>备注：对于“</w:t>
      </w:r>
      <w:r>
        <w:rPr>
          <w:rFonts w:hint="eastAsia"/>
          <w:b/>
        </w:rPr>
        <w:t>综合评分指引”</w:t>
      </w:r>
      <w:r>
        <w:rPr>
          <w:rFonts w:hint="eastAsia"/>
          <w:szCs w:val="21"/>
        </w:rPr>
        <w:t>请投标供应商按照</w:t>
      </w:r>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。因项目次序混乱而影响评标效率及评标结果者，投标供应商自负其责。</w:t>
      </w:r>
    </w:p>
    <w:p>
      <w:pPr>
        <w:numPr>
          <w:ilvl w:val="0"/>
          <w:numId w:val="6"/>
        </w:numPr>
        <w:adjustRightInd/>
        <w:snapToGrid/>
        <w:spacing w:before="280" w:after="290" w:line="377" w:lineRule="auto"/>
        <w:ind w:left="420" w:hanging="420"/>
        <w:outlineLvl w:val="2"/>
        <w:rPr>
          <w:b/>
          <w:sz w:val="24"/>
        </w:rPr>
      </w:pPr>
      <w:r>
        <w:br w:type="page"/>
      </w:r>
      <w:bookmarkStart w:id="109" w:name="_Toc13970"/>
      <w:bookmarkStart w:id="110" w:name="_Toc43264525"/>
      <w:bookmarkStart w:id="111" w:name="_Toc50691037"/>
      <w:bookmarkStart w:id="112" w:name="_Toc50703730"/>
      <w:bookmarkStart w:id="113" w:name="_Toc43264518"/>
      <w:r>
        <w:rPr>
          <w:rFonts w:hint="eastAsia"/>
          <w:b/>
          <w:sz w:val="24"/>
        </w:rPr>
        <w:t>投标函</w:t>
      </w:r>
      <w:bookmarkEnd w:id="109"/>
    </w:p>
    <w:p>
      <w:pPr>
        <w:widowControl w:val="0"/>
        <w:shd w:val="clear" w:color="auto" w:fill="auto"/>
        <w:tabs>
          <w:tab w:val="clear" w:pos="426"/>
        </w:tabs>
        <w:adjustRightInd/>
        <w:snapToGrid/>
        <w:spacing w:line="300" w:lineRule="auto"/>
        <w:jc w:val="center"/>
        <w:rPr>
          <w:rFonts w:cs="Times New Roman"/>
          <w:bCs/>
          <w:kern w:val="2"/>
          <w:sz w:val="32"/>
          <w:szCs w:val="32"/>
        </w:rPr>
      </w:pPr>
      <w:bookmarkStart w:id="114" w:name="_Toc201997950"/>
      <w:bookmarkStart w:id="115" w:name="_Toc201742865"/>
      <w:bookmarkStart w:id="116" w:name="_Toc201743120"/>
      <w:bookmarkStart w:id="117" w:name="_Toc201719122"/>
      <w:r>
        <w:rPr>
          <w:rFonts w:hint="eastAsia" w:cs="Times New Roman"/>
          <w:bCs/>
          <w:kern w:val="2"/>
          <w:sz w:val="32"/>
          <w:szCs w:val="32"/>
        </w:rPr>
        <w:t>投标函</w:t>
      </w:r>
      <w:bookmarkEnd w:id="114"/>
      <w:bookmarkEnd w:id="115"/>
      <w:bookmarkEnd w:id="116"/>
      <w:bookmarkEnd w:id="117"/>
    </w:p>
    <w:p>
      <w:pPr>
        <w:tabs>
          <w:tab w:val="clear" w:pos="426"/>
        </w:tabs>
        <w:spacing w:line="300" w:lineRule="auto"/>
        <w:rPr>
          <w:szCs w:val="21"/>
        </w:rPr>
      </w:pPr>
    </w:p>
    <w:p>
      <w:pPr>
        <w:spacing w:after="231" w:afterLines="50"/>
        <w:ind w:firstLine="411" w:firstLineChars="196"/>
        <w:rPr>
          <w:szCs w:val="21"/>
        </w:rPr>
      </w:pPr>
    </w:p>
    <w:p>
      <w:pPr>
        <w:spacing w:after="231" w:afterLines="50"/>
        <w:ind w:firstLine="411" w:firstLineChars="196"/>
        <w:rPr>
          <w:szCs w:val="21"/>
          <w:u w:val="single"/>
        </w:rPr>
      </w:pPr>
      <w:r>
        <w:rPr>
          <w:rFonts w:hint="eastAsia"/>
          <w:szCs w:val="21"/>
        </w:rPr>
        <w:t>致：</w:t>
      </w:r>
      <w:r>
        <w:rPr>
          <w:rFonts w:hint="eastAsia"/>
          <w:szCs w:val="21"/>
          <w:u w:val="single"/>
        </w:rPr>
        <w:t>深圳市深水水务咨询有限公司</w:t>
      </w:r>
    </w:p>
    <w:p>
      <w:pPr>
        <w:spacing w:after="231" w:afterLines="50"/>
        <w:ind w:firstLine="411" w:firstLineChars="196"/>
        <w:rPr>
          <w:szCs w:val="21"/>
        </w:rPr>
      </w:pPr>
      <w:r>
        <w:rPr>
          <w:szCs w:val="21"/>
        </w:rPr>
        <w:t>1.根据已收到贵方的_______________项目编号为________的项目的招标文件，遵照《中华人民共和国政府采购法实施条例》等有关规定，我单位经研究上述招标文件的专用条款及通用条款后，我方愿以投标书中《开标一览表》中填写的投标报价并按招标文件要求承包上述项目并修补其任何缺陷。</w:t>
      </w:r>
    </w:p>
    <w:p>
      <w:pPr>
        <w:spacing w:after="231" w:afterLines="50"/>
        <w:ind w:firstLine="411" w:firstLineChars="196"/>
        <w:rPr>
          <w:szCs w:val="21"/>
        </w:rPr>
      </w:pPr>
      <w:r>
        <w:rPr>
          <w:szCs w:val="21"/>
        </w:rPr>
        <w:t>2.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after="231" w:afterLines="50"/>
        <w:ind w:firstLine="411" w:firstLineChars="196"/>
        <w:rPr>
          <w:szCs w:val="21"/>
        </w:rPr>
      </w:pPr>
      <w:r>
        <w:rPr>
          <w:szCs w:val="21"/>
        </w:rPr>
        <w:t>3.我方同意所递交的投标文件在“对通用条款的补充内容”中的投标有效期内有效，在此期间内我方的投标有可能中标，我方将受此约束。如果在投标有效期内撤回其投标，自行承担一切后果。</w:t>
      </w:r>
    </w:p>
    <w:p>
      <w:pPr>
        <w:spacing w:after="231" w:afterLines="50"/>
        <w:ind w:firstLine="411" w:firstLineChars="196"/>
        <w:rPr>
          <w:szCs w:val="21"/>
        </w:rPr>
      </w:pPr>
      <w:r>
        <w:rPr>
          <w:szCs w:val="21"/>
        </w:rPr>
        <w:t>4.除非另外达成协议并生效，贵方的中标通知书和本投标文件将构成约束我们双方的合同。</w:t>
      </w:r>
    </w:p>
    <w:p>
      <w:pPr>
        <w:spacing w:after="231" w:afterLines="50"/>
        <w:ind w:firstLine="411" w:firstLineChars="196"/>
        <w:rPr>
          <w:szCs w:val="21"/>
        </w:rPr>
      </w:pPr>
      <w:r>
        <w:rPr>
          <w:szCs w:val="21"/>
        </w:rPr>
        <w:t>5.我方理解贵方将不受必须接受你们所收到的最低标价或其它任何投标文件的约束。</w:t>
      </w:r>
    </w:p>
    <w:p>
      <w:pPr>
        <w:tabs>
          <w:tab w:val="clear" w:pos="426"/>
        </w:tabs>
        <w:spacing w:line="300" w:lineRule="auto"/>
        <w:ind w:left="424" w:leftChars="202"/>
        <w:rPr>
          <w:szCs w:val="21"/>
        </w:rPr>
      </w:pPr>
    </w:p>
    <w:p>
      <w:pPr>
        <w:tabs>
          <w:tab w:val="clear" w:pos="426"/>
        </w:tabs>
        <w:spacing w:line="300" w:lineRule="auto"/>
        <w:ind w:left="424" w:leftChars="202"/>
        <w:rPr>
          <w:szCs w:val="21"/>
        </w:rPr>
      </w:pPr>
    </w:p>
    <w:p>
      <w:pPr>
        <w:tabs>
          <w:tab w:val="clear" w:pos="426"/>
        </w:tabs>
        <w:spacing w:line="300" w:lineRule="auto"/>
        <w:ind w:left="424" w:leftChars="202"/>
        <w:rPr>
          <w:szCs w:val="21"/>
        </w:rPr>
      </w:pPr>
    </w:p>
    <w:p>
      <w:pPr>
        <w:tabs>
          <w:tab w:val="clear" w:pos="426"/>
        </w:tabs>
        <w:spacing w:line="300" w:lineRule="auto"/>
        <w:ind w:left="424" w:leftChars="202"/>
        <w:rPr>
          <w:szCs w:val="21"/>
        </w:rPr>
      </w:pPr>
      <w:r>
        <w:rPr>
          <w:rFonts w:hint="eastAsia"/>
          <w:szCs w:val="21"/>
        </w:rPr>
        <w:t>地址：</w:t>
      </w:r>
      <w:r>
        <w:rPr>
          <w:szCs w:val="21"/>
          <w:u w:val="single"/>
        </w:rPr>
        <w:t>__________________________</w:t>
      </w:r>
      <w:r>
        <w:rPr>
          <w:szCs w:val="21"/>
        </w:rPr>
        <w:t xml:space="preserve">  电话：</w:t>
      </w:r>
      <w:r>
        <w:rPr>
          <w:szCs w:val="21"/>
          <w:u w:val="single"/>
        </w:rPr>
        <w:t>________________________</w:t>
      </w:r>
    </w:p>
    <w:p>
      <w:pPr>
        <w:tabs>
          <w:tab w:val="clear" w:pos="426"/>
        </w:tabs>
        <w:spacing w:line="300" w:lineRule="auto"/>
        <w:ind w:left="424" w:leftChars="202"/>
        <w:rPr>
          <w:szCs w:val="21"/>
          <w:u w:val="single"/>
        </w:rPr>
      </w:pPr>
      <w:r>
        <w:rPr>
          <w:rFonts w:hint="eastAsia"/>
          <w:szCs w:val="21"/>
        </w:rPr>
        <w:t>投标人名称（公章）：</w:t>
      </w:r>
      <w:r>
        <w:rPr>
          <w:szCs w:val="21"/>
          <w:u w:val="single"/>
        </w:rPr>
        <w:t>_____________________________________________</w:t>
      </w:r>
    </w:p>
    <w:p>
      <w:pPr>
        <w:tabs>
          <w:tab w:val="clear" w:pos="426"/>
        </w:tabs>
        <w:spacing w:line="300" w:lineRule="auto"/>
        <w:ind w:left="424" w:leftChars="202"/>
        <w:rPr>
          <w:szCs w:val="21"/>
          <w:u w:val="single"/>
        </w:rPr>
      </w:pPr>
      <w:r>
        <w:rPr>
          <w:rFonts w:hint="eastAsia"/>
          <w:szCs w:val="21"/>
        </w:rPr>
        <w:t>投标人代表（签字或盖章</w:t>
      </w:r>
      <w:r>
        <w:rPr>
          <w:szCs w:val="21"/>
        </w:rPr>
        <w:t xml:space="preserve">)： </w:t>
      </w:r>
      <w:r>
        <w:rPr>
          <w:szCs w:val="21"/>
          <w:u w:val="single"/>
        </w:rPr>
        <w:t>_____________________________________________</w:t>
      </w:r>
    </w:p>
    <w:p>
      <w:pPr>
        <w:tabs>
          <w:tab w:val="clear" w:pos="426"/>
        </w:tabs>
        <w:spacing w:line="300" w:lineRule="auto"/>
        <w:ind w:left="424" w:leftChars="202"/>
        <w:rPr>
          <w:szCs w:val="21"/>
          <w:u w:val="single"/>
        </w:rPr>
      </w:pPr>
      <w:r>
        <w:rPr>
          <w:rFonts w:hint="eastAsia"/>
          <w:szCs w:val="21"/>
        </w:rPr>
        <w:t>日期：</w:t>
      </w:r>
      <w:r>
        <w:rPr>
          <w:szCs w:val="21"/>
          <w:u w:val="single"/>
        </w:rPr>
        <w:t>___________________________________________________________</w:t>
      </w:r>
    </w:p>
    <w:p>
      <w:pPr>
        <w:tabs>
          <w:tab w:val="clear" w:pos="426"/>
        </w:tabs>
        <w:spacing w:line="300" w:lineRule="auto"/>
      </w:pPr>
    </w:p>
    <w:p>
      <w:pPr>
        <w:numPr>
          <w:ilvl w:val="0"/>
          <w:numId w:val="6"/>
        </w:numPr>
        <w:adjustRightInd/>
        <w:snapToGrid/>
        <w:spacing w:before="280" w:after="290" w:line="377" w:lineRule="auto"/>
        <w:ind w:left="420" w:hanging="420"/>
        <w:outlineLvl w:val="2"/>
        <w:rPr>
          <w:b/>
          <w:sz w:val="24"/>
        </w:rPr>
      </w:pPr>
      <w:r>
        <w:br w:type="page"/>
      </w:r>
      <w:bookmarkStart w:id="118" w:name="_Toc24595"/>
      <w:r>
        <w:rPr>
          <w:rFonts w:hint="eastAsia"/>
          <w:b/>
          <w:sz w:val="24"/>
        </w:rPr>
        <w:t>政府采购投标及履约承诺函</w:t>
      </w:r>
      <w:bookmarkEnd w:id="118"/>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政府采购投标及履约承诺函</w:t>
      </w:r>
    </w:p>
    <w:p>
      <w:pPr>
        <w:tabs>
          <w:tab w:val="clear" w:pos="426"/>
        </w:tabs>
      </w:pPr>
    </w:p>
    <w:p>
      <w:pPr>
        <w:tabs>
          <w:tab w:val="clear" w:pos="426"/>
        </w:tabs>
        <w:ind w:firstLine="420"/>
        <w:rPr>
          <w:rFonts w:ascii="Times New Roman" w:hAnsi="Times New Roman" w:cs="Times New Roman"/>
        </w:rPr>
      </w:pPr>
      <w:r>
        <w:rPr>
          <w:rFonts w:ascii="Times New Roman" w:hAnsi="Times New Roman" w:cs="Times New Roman"/>
        </w:rPr>
        <w:t>致：</w:t>
      </w:r>
      <w:bookmarkStart w:id="119" w:name="OLE_LINK35"/>
      <w:bookmarkStart w:id="120" w:name="OLE_LINK36"/>
      <w:r>
        <w:rPr>
          <w:rFonts w:hint="eastAsia" w:ascii="Times New Roman" w:hAnsi="Times New Roman" w:cs="Times New Roman"/>
          <w:u w:val="single"/>
        </w:rPr>
        <w:t>（采购人单位</w:t>
      </w:r>
      <w:bookmarkEnd w:id="119"/>
      <w:r>
        <w:rPr>
          <w:rFonts w:hint="eastAsia" w:ascii="Times New Roman" w:hAnsi="Times New Roman" w:cs="Times New Roman"/>
          <w:u w:val="single"/>
        </w:rPr>
        <w:t>名称）</w:t>
      </w:r>
      <w:bookmarkEnd w:id="120"/>
    </w:p>
    <w:p>
      <w:pPr>
        <w:tabs>
          <w:tab w:val="clear" w:pos="426"/>
        </w:tabs>
        <w:ind w:firstLine="424" w:firstLineChars="202"/>
        <w:rPr>
          <w:rFonts w:ascii="Times New Roman" w:hAnsi="Times New Roman" w:cs="Times New Roman"/>
        </w:rPr>
      </w:pPr>
      <w:r>
        <w:rPr>
          <w:rFonts w:ascii="Times New Roman" w:hAnsi="Times New Roman" w:cs="Times New Roman"/>
        </w:rPr>
        <w:t>关于贵公司发布</w:t>
      </w:r>
      <w:r>
        <w:rPr>
          <w:rFonts w:ascii="Times New Roman" w:hAnsi="Times New Roman" w:cs="Times New Roman"/>
          <w:u w:val="single"/>
        </w:rPr>
        <w:t>__</w:t>
      </w:r>
      <w:r>
        <w:rPr>
          <w:rFonts w:ascii="Times New Roman" w:hAnsi="Times New Roman" w:cs="Times New Roman"/>
          <w:szCs w:val="21"/>
          <w:u w:val="single"/>
        </w:rPr>
        <w:t>（项目名称)_</w:t>
      </w:r>
      <w:r>
        <w:rPr>
          <w:rFonts w:ascii="Times New Roman" w:hAnsi="Times New Roman" w:cs="Times New Roman"/>
          <w:u w:val="single"/>
        </w:rPr>
        <w:t>_</w:t>
      </w:r>
      <w:r>
        <w:rPr>
          <w:rFonts w:ascii="Times New Roman" w:hAnsi="Times New Roman" w:cs="Times New Roman"/>
        </w:rPr>
        <w:t>项目（招标项目编号：</w:t>
      </w:r>
      <w:r>
        <w:rPr>
          <w:rFonts w:ascii="Times New Roman" w:hAnsi="Times New Roman" w:cs="Times New Roman"/>
          <w:u w:val="single"/>
        </w:rPr>
        <w:t>__（招标项目编号）__</w:t>
      </w:r>
      <w:r>
        <w:rPr>
          <w:rFonts w:ascii="Times New Roman" w:hAnsi="Times New Roman" w:cs="Times New Roman"/>
        </w:rPr>
        <w:t>）的采购公告，本公司（企业）愿意参加投标，并声明：</w:t>
      </w:r>
    </w:p>
    <w:p>
      <w:pPr>
        <w:ind w:firstLine="420" w:firstLineChars="200"/>
        <w:rPr>
          <w:rFonts w:ascii="Times New Roman" w:hAnsi="Times New Roman" w:cs="Times New Roman"/>
          <w:szCs w:val="21"/>
        </w:rPr>
      </w:pPr>
      <w:r>
        <w:rPr>
          <w:rFonts w:ascii="Times New Roman" w:hAnsi="Times New Roman" w:cs="Times New Roman"/>
          <w:szCs w:val="21"/>
        </w:rPr>
        <w:t>我单位承诺：</w:t>
      </w:r>
    </w:p>
    <w:p>
      <w:pPr>
        <w:ind w:firstLine="420" w:firstLineChars="200"/>
        <w:rPr>
          <w:rFonts w:ascii="Times New Roman" w:hAnsi="Times New Roman" w:cs="Times New Roman"/>
          <w:szCs w:val="21"/>
        </w:rPr>
      </w:pPr>
      <w:r>
        <w:rPr>
          <w:rFonts w:ascii="Times New Roman" w:hAnsi="Times New Roman" w:cs="Times New Roman"/>
          <w:szCs w:val="21"/>
        </w:rPr>
        <w:t>1.我单位参与本项目所投标（响应）的货物、工程或服务，不存在侵犯知识产权的情况；已知悉并同意中标（成交）结果信息公示（公开）的内容。</w:t>
      </w:r>
    </w:p>
    <w:p>
      <w:pPr>
        <w:ind w:firstLine="420" w:firstLineChars="200"/>
        <w:rPr>
          <w:rFonts w:ascii="Times New Roman" w:hAnsi="Times New Roman" w:cs="Times New Roman"/>
        </w:rPr>
      </w:pPr>
      <w:r>
        <w:rPr>
          <w:rFonts w:ascii="Times New Roman" w:hAnsi="Times New Roman" w:cs="Times New Roman"/>
          <w:szCs w:val="21"/>
        </w:rPr>
        <w:t>2.我单位</w:t>
      </w:r>
      <w:r>
        <w:rPr>
          <w:rFonts w:ascii="Times New Roman" w:hAnsi="Times New Roman" w:cs="Times New Roman"/>
        </w:rPr>
        <w:t>参与本项目投标前三年内，在经营活动中没有重大违法记录</w:t>
      </w:r>
      <w:r>
        <w:rPr>
          <w:rFonts w:hint="eastAsia" w:ascii="Times New Roman" w:hAnsi="Times New Roman" w:cs="Times New Roman"/>
        </w:rPr>
        <w:t>。</w:t>
      </w:r>
    </w:p>
    <w:p>
      <w:pPr>
        <w:ind w:firstLine="420" w:firstLineChars="200"/>
        <w:rPr>
          <w:rFonts w:ascii="Times New Roman" w:hAnsi="Times New Roman" w:cs="Times New Roman"/>
          <w:szCs w:val="21"/>
        </w:rPr>
      </w:pPr>
      <w:r>
        <w:rPr>
          <w:rFonts w:hint="eastAsia" w:ascii="Times New Roman" w:hAnsi="Times New Roman" w:cs="Times New Roman"/>
          <w:lang w:val="en-US" w:eastAsia="zh-CN"/>
        </w:rPr>
        <w:t>3</w:t>
      </w:r>
      <w:r>
        <w:rPr>
          <w:rFonts w:hint="eastAsia" w:ascii="Times New Roman" w:hAnsi="Times New Roman" w:cs="Times New Roman"/>
        </w:rPr>
        <w:t>.</w:t>
      </w:r>
      <w:r>
        <w:rPr>
          <w:rFonts w:ascii="Times New Roman" w:hAnsi="Times New Roman" w:cs="Times New Roman"/>
          <w:szCs w:val="21"/>
        </w:rPr>
        <w:t>我单位参与本项目</w:t>
      </w:r>
      <w:r>
        <w:rPr>
          <w:rFonts w:ascii="Times New Roman" w:hAnsi="Times New Roman" w:cs="Times New Roman"/>
        </w:rPr>
        <w:t>政府采购活动时不存在被有关部门禁止参与政府采购活动且在有效期内的情况。</w:t>
      </w:r>
    </w:p>
    <w:p>
      <w:pPr>
        <w:ind w:firstLine="420" w:firstLineChars="200"/>
        <w:rPr>
          <w:rFonts w:ascii="Times New Roman" w:hAnsi="Times New Roman" w:cs="Times New Roman"/>
          <w:szCs w:val="21"/>
        </w:rPr>
      </w:pPr>
      <w:r>
        <w:rPr>
          <w:rFonts w:hint="eastAsia" w:ascii="Times New Roman" w:hAnsi="Times New Roman" w:cs="Times New Roman"/>
          <w:szCs w:val="21"/>
          <w:lang w:val="en-US" w:eastAsia="zh-CN"/>
        </w:rPr>
        <w:t>4</w:t>
      </w:r>
      <w:r>
        <w:rPr>
          <w:rFonts w:ascii="Times New Roman" w:hAnsi="Times New Roman" w:cs="Times New Roman"/>
          <w:szCs w:val="21"/>
        </w:rPr>
        <w:t>.我单位具备《中华人民共和国政府采购法》</w:t>
      </w:r>
      <w:r>
        <w:rPr>
          <w:rFonts w:hint="eastAsia" w:ascii="Times New Roman" w:hAnsi="Times New Roman" w:cs="Times New Roman"/>
          <w:szCs w:val="21"/>
        </w:rPr>
        <w:t>第二十二条第一款的条件</w:t>
      </w:r>
      <w:r>
        <w:rPr>
          <w:rFonts w:ascii="Times New Roman" w:hAnsi="Times New Roman" w:cs="Times New Roman"/>
          <w:szCs w:val="21"/>
        </w:rPr>
        <w:t>。</w:t>
      </w:r>
    </w:p>
    <w:p>
      <w:pPr>
        <w:ind w:firstLine="420" w:firstLineChars="200"/>
        <w:rPr>
          <w:rFonts w:ascii="Times New Roman" w:hAnsi="Times New Roman" w:cs="Times New Roman"/>
        </w:rPr>
      </w:pPr>
      <w:r>
        <w:rPr>
          <w:rFonts w:hint="eastAsia" w:ascii="Times New Roman" w:hAnsi="Times New Roman" w:cs="Times New Roman"/>
          <w:szCs w:val="21"/>
          <w:lang w:val="en-US" w:eastAsia="zh-CN"/>
        </w:rPr>
        <w:t>5</w:t>
      </w:r>
      <w:r>
        <w:rPr>
          <w:rFonts w:ascii="Times New Roman" w:hAnsi="Times New Roman" w:cs="Times New Roman"/>
          <w:szCs w:val="21"/>
        </w:rPr>
        <w:t>.我单位</w:t>
      </w:r>
      <w:r>
        <w:rPr>
          <w:rFonts w:ascii="Times New Roman" w:hAnsi="Times New Roman" w:cs="Times New Roman"/>
        </w:rPr>
        <w:t>未被列入失信被执行人、</w:t>
      </w:r>
      <w:r>
        <w:rPr>
          <w:rFonts w:hint="eastAsia" w:ascii="Times New Roman" w:hAnsi="Times New Roman" w:cs="Times New Roman"/>
        </w:rPr>
        <w:t>重大税收违法失信主体</w:t>
      </w:r>
      <w:r>
        <w:rPr>
          <w:rFonts w:ascii="Times New Roman" w:hAnsi="Times New Roman" w:cs="Times New Roman"/>
        </w:rPr>
        <w:t>、政府采购严重违法失信行为记录名单</w:t>
      </w:r>
      <w:r>
        <w:rPr>
          <w:rFonts w:hint="eastAsia" w:ascii="Times New Roman" w:hAnsi="Times New Roman" w:cs="Times New Roman"/>
        </w:rPr>
        <w:t>。</w:t>
      </w:r>
    </w:p>
    <w:p>
      <w:pPr>
        <w:ind w:firstLine="420" w:firstLineChars="200"/>
        <w:rPr>
          <w:rFonts w:ascii="Times New Roman" w:hAnsi="Times New Roman" w:cs="Times New Roman"/>
          <w:szCs w:val="21"/>
        </w:rPr>
      </w:pPr>
      <w:r>
        <w:rPr>
          <w:rFonts w:hint="eastAsia" w:ascii="Times New Roman" w:hAnsi="Times New Roman" w:cs="Times New Roman"/>
          <w:szCs w:val="21"/>
          <w:lang w:val="en-US" w:eastAsia="zh-CN"/>
        </w:rPr>
        <w:t>6</w:t>
      </w:r>
      <w:r>
        <w:rPr>
          <w:rFonts w:ascii="Times New Roman" w:hAnsi="Times New Roman" w:cs="Times New Roman"/>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ascii="Times New Roman" w:hAnsi="Times New Roman" w:cs="Times New Roman"/>
          <w:szCs w:val="21"/>
        </w:rPr>
      </w:pPr>
      <w:r>
        <w:rPr>
          <w:rFonts w:hint="eastAsia" w:ascii="Times New Roman" w:hAnsi="Times New Roman" w:cs="Times New Roman"/>
          <w:szCs w:val="21"/>
          <w:lang w:val="en-US" w:eastAsia="zh-CN"/>
        </w:rPr>
        <w:t>7</w:t>
      </w:r>
      <w:r>
        <w:rPr>
          <w:rFonts w:ascii="Times New Roman" w:hAnsi="Times New Roman" w:cs="Times New Roman"/>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Times New Roman" w:hAnsi="Times New Roman" w:cs="Times New Roman"/>
          <w:szCs w:val="21"/>
        </w:rPr>
      </w:pPr>
      <w:r>
        <w:rPr>
          <w:rFonts w:hint="eastAsia" w:ascii="Times New Roman" w:hAnsi="Times New Roman" w:cs="Times New Roman"/>
          <w:szCs w:val="21"/>
          <w:lang w:val="en-US" w:eastAsia="zh-CN"/>
        </w:rPr>
        <w:t>8.</w:t>
      </w:r>
      <w:r>
        <w:rPr>
          <w:rFonts w:ascii="Times New Roman" w:hAnsi="Times New Roman" w:cs="Times New Roman"/>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Times New Roman" w:hAnsi="Times New Roman" w:cs="Times New Roman"/>
          <w:szCs w:val="21"/>
        </w:rPr>
      </w:pPr>
      <w:r>
        <w:rPr>
          <w:rFonts w:hint="eastAsia" w:ascii="Times New Roman" w:hAnsi="Times New Roman" w:cs="Times New Roman"/>
          <w:szCs w:val="21"/>
        </w:rPr>
        <w:t>9</w:t>
      </w:r>
      <w:r>
        <w:rPr>
          <w:rFonts w:ascii="Times New Roman" w:hAnsi="Times New Roman" w:cs="Times New Roman"/>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Times New Roman" w:hAnsi="Times New Roman" w:cs="Times New Roman"/>
          <w:szCs w:val="21"/>
        </w:rPr>
      </w:pPr>
      <w:r>
        <w:rPr>
          <w:rFonts w:hint="eastAsia" w:ascii="Times New Roman" w:hAnsi="Times New Roman" w:cs="Times New Roman"/>
          <w:szCs w:val="21"/>
        </w:rPr>
        <w:t>10</w:t>
      </w:r>
      <w:r>
        <w:rPr>
          <w:rFonts w:ascii="Times New Roman" w:hAnsi="Times New Roman" w:cs="Times New Roman"/>
          <w:szCs w:val="21"/>
        </w:rPr>
        <w:t>.我单位承诺中标后项目不转包，</w:t>
      </w:r>
      <w:r>
        <w:rPr>
          <w:rFonts w:hint="eastAsia" w:cs="Times New Roman"/>
          <w:kern w:val="2"/>
          <w:szCs w:val="21"/>
        </w:rPr>
        <w:t>不选用进口产品参与投标，</w:t>
      </w:r>
      <w:r>
        <w:rPr>
          <w:rFonts w:hint="eastAsia" w:ascii="Times New Roman" w:hAnsi="Times New Roman" w:cs="Times New Roman"/>
          <w:szCs w:val="21"/>
        </w:rPr>
        <w:t>符合招标文件</w:t>
      </w:r>
      <w:r>
        <w:rPr>
          <w:rFonts w:ascii="Times New Roman" w:hAnsi="Times New Roman" w:cs="Times New Roman"/>
          <w:szCs w:val="21"/>
        </w:rPr>
        <w:t>分包</w:t>
      </w:r>
      <w:r>
        <w:rPr>
          <w:rFonts w:hint="eastAsia" w:ascii="Times New Roman" w:hAnsi="Times New Roman" w:cs="Times New Roman"/>
          <w:szCs w:val="21"/>
        </w:rPr>
        <w:t>要求</w:t>
      </w:r>
      <w:r>
        <w:rPr>
          <w:rFonts w:ascii="Times New Roman" w:hAnsi="Times New Roman" w:cs="Times New Roman"/>
          <w:szCs w:val="21"/>
        </w:rPr>
        <w:t>。</w:t>
      </w:r>
    </w:p>
    <w:p>
      <w:pPr>
        <w:ind w:firstLine="420" w:firstLineChars="200"/>
        <w:rPr>
          <w:rFonts w:ascii="Times New Roman" w:hAnsi="Times New Roman" w:cs="Times New Roman"/>
        </w:rPr>
      </w:pPr>
      <w:r>
        <w:rPr>
          <w:rFonts w:ascii="Times New Roman" w:hAnsi="Times New Roman" w:cs="Times New Roman"/>
          <w:szCs w:val="21"/>
        </w:rPr>
        <w:t>1</w:t>
      </w:r>
      <w:r>
        <w:rPr>
          <w:rFonts w:hint="eastAsia" w:ascii="Times New Roman" w:hAnsi="Times New Roman" w:cs="Times New Roman"/>
          <w:szCs w:val="21"/>
        </w:rPr>
        <w:t>1</w:t>
      </w:r>
      <w:r>
        <w:rPr>
          <w:rFonts w:ascii="Times New Roman" w:hAnsi="Times New Roman" w:cs="Times New Roman"/>
          <w:szCs w:val="21"/>
        </w:rPr>
        <w:t>.</w:t>
      </w:r>
      <w:r>
        <w:rPr>
          <w:rFonts w:ascii="Times New Roman" w:hAnsi="Times New Roman" w:cs="Times New Roma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2</w:t>
      </w:r>
      <w:r>
        <w:rPr>
          <w:rFonts w:ascii="Times New Roman" w:hAnsi="Times New Roman" w:cs="Times New Roman"/>
        </w:rPr>
        <w:t>.我单位保证，若所投货物涉及《财政部生态环境部关于印发节能产品政府采购品目清单的通知》（财库〔2019〕19号）列明的政府采购强制产品，则所投该产品符合节能产品的认证要求。</w:t>
      </w:r>
    </w:p>
    <w:p>
      <w:pPr>
        <w:ind w:firstLine="420" w:firstLineChars="20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3</w:t>
      </w:r>
      <w:r>
        <w:rPr>
          <w:rFonts w:ascii="Times New Roman" w:hAnsi="Times New Roman" w:cs="Times New Roman"/>
        </w:rPr>
        <w:t xml:space="preserve">. </w:t>
      </w:r>
      <w:bookmarkStart w:id="121" w:name="OLE_LINK37"/>
      <w:r>
        <w:rPr>
          <w:rFonts w:ascii="Times New Roman" w:hAnsi="Times New Roman" w:cs="Times New Roman"/>
        </w:rPr>
        <w:t>我单位保证，</w:t>
      </w:r>
      <w:bookmarkEnd w:id="121"/>
      <w:r>
        <w:rPr>
          <w:rFonts w:ascii="Times New Roman" w:hAnsi="Times New Roman" w:cs="Times New Roman"/>
        </w:rPr>
        <w:t>符合“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pPr>
        <w:ind w:firstLine="420" w:firstLineChars="200"/>
        <w:rPr>
          <w:rFonts w:ascii="Times New Roman" w:hAnsi="Times New Roman" w:cs="Times New Roman"/>
        </w:rPr>
      </w:pPr>
      <w:r>
        <w:rPr>
          <w:rFonts w:hint="eastAsia" w:ascii="Times New Roman" w:hAnsi="Times New Roman" w:cs="Times New Roman"/>
        </w:rPr>
        <w:t>14.</w:t>
      </w:r>
      <w:r>
        <w:rPr>
          <w:rFonts w:ascii="Times New Roman" w:hAnsi="Times New Roman" w:cs="Times New Roman"/>
        </w:rPr>
        <w:t>我单位保证，</w:t>
      </w:r>
      <w:r>
        <w:rPr>
          <w:rFonts w:hint="eastAsia" w:ascii="Times New Roman" w:hAnsi="Times New Roman" w:cs="Times New Roman"/>
        </w:rPr>
        <w:t>不同单位的法定代表人（负责人）、主要经营负责人、项目投标授权代表人、项目负责人、主要技术人员不得为同一人或同一单位或在同一单位缴纳社会保险。</w:t>
      </w:r>
    </w:p>
    <w:p>
      <w:pPr>
        <w:ind w:firstLine="420" w:firstLineChars="20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5</w:t>
      </w:r>
      <w:r>
        <w:rPr>
          <w:rFonts w:ascii="Times New Roman" w:hAnsi="Times New Roman" w:cs="Times New Roman"/>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以上承诺，如有违反，愿依照国家相关法律法规处理，并承担由此给采购人带来的损失。</w:t>
      </w:r>
    </w:p>
    <w:p>
      <w:pPr>
        <w:tabs>
          <w:tab w:val="clear" w:pos="426"/>
        </w:tabs>
        <w:spacing w:line="240" w:lineRule="auto"/>
        <w:ind w:firstLine="420"/>
        <w:rPr>
          <w:rFonts w:ascii="Times New Roman" w:hAnsi="Times New Roman" w:cs="Times New Roman"/>
        </w:rPr>
      </w:pPr>
      <w:r>
        <w:rPr>
          <w:rFonts w:ascii="Times New Roman" w:hAnsi="Times New Roman" w:cs="Times New Roman"/>
        </w:rPr>
        <w:t>特此声明！</w:t>
      </w:r>
    </w:p>
    <w:p>
      <w:pPr>
        <w:tabs>
          <w:tab w:val="clear" w:pos="426"/>
        </w:tabs>
      </w:pPr>
    </w:p>
    <w:p>
      <w:pPr>
        <w:tabs>
          <w:tab w:val="clear" w:pos="426"/>
        </w:tabs>
        <w:ind w:firstLine="420"/>
        <w:rPr>
          <w:u w:val="single"/>
        </w:rPr>
      </w:pPr>
      <w:r>
        <w:rPr>
          <w:rFonts w:hint="eastAsia"/>
        </w:rPr>
        <w:t>单位名称：</w:t>
      </w:r>
      <w:r>
        <w:rPr>
          <w:u w:val="single"/>
        </w:rPr>
        <w:t>_____________________________________________________________</w:t>
      </w:r>
    </w:p>
    <w:p>
      <w:pPr>
        <w:tabs>
          <w:tab w:val="clear" w:pos="426"/>
        </w:tabs>
        <w:ind w:firstLine="420"/>
        <w:rPr>
          <w:u w:val="single"/>
        </w:rPr>
      </w:pPr>
      <w:r>
        <w:rPr>
          <w:rFonts w:hint="eastAsia"/>
        </w:rPr>
        <w:t>法定代表人或投标人授权代表（签名或盖章）：</w:t>
      </w:r>
      <w:r>
        <w:rPr>
          <w:u w:val="single"/>
        </w:rPr>
        <w:t>_____________________________</w:t>
      </w:r>
    </w:p>
    <w:p>
      <w:pPr>
        <w:tabs>
          <w:tab w:val="clear" w:pos="426"/>
        </w:tabs>
        <w:ind w:firstLine="420"/>
        <w:rPr>
          <w:u w:val="single"/>
        </w:rPr>
      </w:pPr>
      <w:r>
        <w:rPr>
          <w:rFonts w:hint="eastAsia"/>
        </w:rPr>
        <w:t>单位地址：</w:t>
      </w:r>
      <w:r>
        <w:rPr>
          <w:u w:val="single"/>
        </w:rPr>
        <w:t>_____________________________________________________________</w:t>
      </w:r>
    </w:p>
    <w:p>
      <w:pPr>
        <w:tabs>
          <w:tab w:val="clear" w:pos="426"/>
        </w:tabs>
        <w:ind w:firstLine="420"/>
        <w:rPr>
          <w:u w:val="single"/>
        </w:rPr>
      </w:pPr>
      <w:r>
        <w:rPr>
          <w:rFonts w:hint="eastAsia"/>
        </w:rPr>
        <w:t>单位公章：</w:t>
      </w:r>
      <w:r>
        <w:rPr>
          <w:u w:val="single"/>
        </w:rPr>
        <w:t>_____________________________________________________________</w:t>
      </w:r>
    </w:p>
    <w:p>
      <w:pPr>
        <w:tabs>
          <w:tab w:val="clear" w:pos="426"/>
        </w:tabs>
        <w:ind w:firstLine="420"/>
        <w:rPr>
          <w:u w:val="single"/>
        </w:rPr>
      </w:pPr>
      <w:r>
        <w:rPr>
          <w:rFonts w:hint="eastAsia"/>
        </w:rPr>
        <w:t>邮政编码：</w:t>
      </w:r>
      <w:r>
        <w:rPr>
          <w:u w:val="single"/>
        </w:rPr>
        <w:t>_____________________________</w:t>
      </w:r>
      <w:r>
        <w:rPr>
          <w:rFonts w:hint="eastAsia"/>
        </w:rPr>
        <w:t>日期：</w:t>
      </w:r>
      <w:r>
        <w:rPr>
          <w:u w:val="single"/>
        </w:rPr>
        <w:t>__________________________</w:t>
      </w:r>
    </w:p>
    <w:p>
      <w:pPr>
        <w:tabs>
          <w:tab w:val="clear" w:pos="426"/>
        </w:tabs>
        <w:ind w:firstLine="420" w:firstLineChars="200"/>
        <w:rPr>
          <w:u w:val="single"/>
        </w:rPr>
      </w:pPr>
      <w:r>
        <w:rPr>
          <w:rFonts w:hint="eastAsia"/>
        </w:rPr>
        <w:t>联系电话：</w:t>
      </w:r>
      <w:r>
        <w:rPr>
          <w:u w:val="single"/>
        </w:rPr>
        <w:t>______________________________</w:t>
      </w:r>
      <w:bookmarkStart w:id="122" w:name="_Toc50737329"/>
      <w:bookmarkStart w:id="123" w:name="_Toc52165081"/>
      <w:bookmarkStart w:id="124" w:name="_Toc50737297"/>
      <w:bookmarkStart w:id="125" w:name="_Toc50736477"/>
      <w:bookmarkStart w:id="126" w:name="_Toc480754205"/>
      <w:bookmarkStart w:id="127" w:name="_Toc275865607"/>
      <w:bookmarkStart w:id="128" w:name="_Toc50691034"/>
      <w:bookmarkStart w:id="129" w:name="_Toc50736476"/>
      <w:bookmarkStart w:id="130" w:name="_Toc50737328"/>
      <w:bookmarkStart w:id="131" w:name="_Toc50737296"/>
      <w:bookmarkStart w:id="132" w:name="_Toc52165080"/>
      <w:r>
        <w:rPr>
          <w:u w:val="single"/>
        </w:rPr>
        <w:t>_______________________________</w:t>
      </w:r>
    </w:p>
    <w:p>
      <w:pPr>
        <w:numPr>
          <w:ilvl w:val="0"/>
          <w:numId w:val="6"/>
        </w:numPr>
        <w:adjustRightInd/>
        <w:snapToGrid/>
        <w:spacing w:before="280" w:after="290" w:line="377" w:lineRule="auto"/>
        <w:outlineLvl w:val="2"/>
        <w:rPr>
          <w:b/>
          <w:sz w:val="24"/>
        </w:rPr>
      </w:pPr>
      <w:r>
        <w:rPr>
          <w:sz w:val="28"/>
          <w:szCs w:val="28"/>
        </w:rPr>
        <w:br w:type="page"/>
      </w:r>
      <w:bookmarkStart w:id="133" w:name="_Toc11614"/>
      <w:r>
        <w:rPr>
          <w:rFonts w:hint="eastAsia"/>
          <w:b/>
          <w:sz w:val="24"/>
        </w:rPr>
        <w:t>法定代表人授权委托书、法定代表人证明书</w:t>
      </w:r>
      <w:bookmarkEnd w:id="133"/>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法定代表人授权委托书</w:t>
      </w:r>
      <w:bookmarkEnd w:id="122"/>
      <w:bookmarkEnd w:id="123"/>
      <w:bookmarkEnd w:id="124"/>
      <w:bookmarkEnd w:id="125"/>
      <w:bookmarkEnd w:id="126"/>
      <w:bookmarkEnd w:id="127"/>
    </w:p>
    <w:p>
      <w:pPr>
        <w:tabs>
          <w:tab w:val="clear" w:pos="426"/>
        </w:tabs>
        <w:ind w:firstLine="420" w:firstLineChars="200"/>
        <w:rPr>
          <w:rFonts w:hAnsi="Courier New" w:cs="Times New Roman"/>
          <w:kern w:val="2"/>
          <w:szCs w:val="20"/>
        </w:rPr>
      </w:pPr>
    </w:p>
    <w:p>
      <w:pPr>
        <w:tabs>
          <w:tab w:val="clear" w:pos="426"/>
        </w:tabs>
        <w:ind w:firstLine="420" w:firstLineChars="200"/>
        <w:rPr>
          <w:rFonts w:hAnsi="Courier New" w:cs="Times New Roman"/>
          <w:kern w:val="2"/>
          <w:szCs w:val="20"/>
        </w:rPr>
      </w:pPr>
      <w:r>
        <w:rPr>
          <w:rFonts w:hint="eastAsia" w:hAnsi="Courier New" w:cs="Times New Roman"/>
          <w:kern w:val="2"/>
          <w:szCs w:val="20"/>
        </w:rPr>
        <w:t>本授权委托书声明：注册于</w:t>
      </w:r>
      <w:r>
        <w:rPr>
          <w:rFonts w:hint="eastAsia" w:hAnsi="Courier New" w:cs="Times New Roman"/>
          <w:kern w:val="2"/>
          <w:szCs w:val="20"/>
          <w:u w:val="single"/>
        </w:rPr>
        <w:t>_（投标人地址）__</w:t>
      </w:r>
      <w:r>
        <w:rPr>
          <w:rFonts w:hint="eastAsia" w:hAnsi="Courier New" w:cs="Times New Roman"/>
          <w:kern w:val="2"/>
          <w:szCs w:val="20"/>
        </w:rPr>
        <w:t>的</w:t>
      </w:r>
      <w:r>
        <w:rPr>
          <w:rFonts w:hint="eastAsia" w:hAnsi="Courier New" w:cs="Times New Roman"/>
          <w:kern w:val="2"/>
          <w:szCs w:val="20"/>
          <w:u w:val="single"/>
        </w:rPr>
        <w:t>__（投标人名称）____</w:t>
      </w:r>
      <w:r>
        <w:rPr>
          <w:rFonts w:hint="eastAsia" w:hAnsi="Courier New" w:cs="Times New Roman"/>
          <w:kern w:val="2"/>
          <w:szCs w:val="20"/>
        </w:rPr>
        <w:t>在下面签名的</w:t>
      </w:r>
      <w:r>
        <w:rPr>
          <w:rFonts w:hint="eastAsia" w:hAnsi="Courier New" w:cs="Times New Roman"/>
          <w:kern w:val="2"/>
          <w:szCs w:val="20"/>
          <w:u w:val="single"/>
        </w:rPr>
        <w:t>（法定代表人姓名、职务）</w:t>
      </w:r>
      <w:r>
        <w:rPr>
          <w:rFonts w:hint="eastAsia" w:hAnsi="Courier New" w:cs="Times New Roman"/>
          <w:kern w:val="2"/>
          <w:szCs w:val="20"/>
        </w:rPr>
        <w:t>在此授权</w:t>
      </w:r>
      <w:r>
        <w:rPr>
          <w:rFonts w:hint="eastAsia" w:hAnsi="Courier New" w:cs="Times New Roman"/>
          <w:kern w:val="2"/>
          <w:szCs w:val="20"/>
          <w:u w:val="single"/>
        </w:rPr>
        <w:t>（被授权人姓名、职务）</w:t>
      </w:r>
      <w:r>
        <w:rPr>
          <w:rFonts w:hint="eastAsia" w:hAnsi="Courier New" w:cs="Times New Roman"/>
          <w:kern w:val="2"/>
          <w:szCs w:val="20"/>
        </w:rPr>
        <w:t>作为我公司的合法代理人，就</w:t>
      </w:r>
      <w:r>
        <w:rPr>
          <w:rFonts w:hint="eastAsia" w:hAnsi="Courier New" w:cs="Times New Roman"/>
          <w:kern w:val="2"/>
          <w:szCs w:val="20"/>
          <w:u w:val="single"/>
        </w:rPr>
        <w:t>（项目名称、招标项目编号</w:t>
      </w:r>
      <w:r>
        <w:rPr>
          <w:rFonts w:hint="eastAsia" w:hAnsi="Courier New" w:cs="Times New Roman"/>
          <w:kern w:val="2"/>
          <w:szCs w:val="20"/>
        </w:rPr>
        <w:t>）的招投标活动，采购合同的签订、执行、完成和售后服务，作为投标人代表以我方的名义处理一切与之有关的事务。</w:t>
      </w:r>
    </w:p>
    <w:p>
      <w:pPr>
        <w:tabs>
          <w:tab w:val="clear" w:pos="426"/>
        </w:tabs>
        <w:ind w:firstLine="420" w:firstLineChars="200"/>
        <w:rPr>
          <w:rFonts w:hAnsi="Courier New" w:cs="Times New Roman"/>
          <w:kern w:val="2"/>
          <w:szCs w:val="20"/>
        </w:rPr>
      </w:pPr>
      <w:r>
        <w:rPr>
          <w:rFonts w:hint="eastAsia" w:hAnsi="Courier New" w:cs="Times New Roman"/>
          <w:kern w:val="2"/>
          <w:szCs w:val="20"/>
        </w:rPr>
        <w:t>被授权人（投标人授权代表）无转委托权限。</w:t>
      </w:r>
    </w:p>
    <w:p>
      <w:pPr>
        <w:tabs>
          <w:tab w:val="clear" w:pos="426"/>
        </w:tabs>
        <w:ind w:firstLine="420" w:firstLineChars="200"/>
        <w:rPr>
          <w:szCs w:val="21"/>
        </w:rPr>
      </w:pPr>
      <w:r>
        <w:rPr>
          <w:rFonts w:hint="eastAsia"/>
          <w:szCs w:val="21"/>
        </w:rPr>
        <w:t>本授权书自法定代表人签字之日起生效，特此声明。</w:t>
      </w:r>
    </w:p>
    <w:p>
      <w:pPr>
        <w:tabs>
          <w:tab w:val="clear" w:pos="426"/>
        </w:tabs>
        <w:ind w:firstLine="422" w:firstLineChars="200"/>
        <w:rPr>
          <w:b/>
          <w:szCs w:val="21"/>
        </w:rPr>
      </w:pPr>
      <w:r>
        <w:rPr>
          <w:rFonts w:hint="eastAsia"/>
          <w:b/>
          <w:szCs w:val="21"/>
        </w:rPr>
        <w:t>随附《法定代表人证明》</w:t>
      </w:r>
    </w:p>
    <w:p>
      <w:pPr>
        <w:tabs>
          <w:tab w:val="clear" w:pos="426"/>
        </w:tabs>
        <w:ind w:firstLine="422" w:firstLineChars="200"/>
        <w:rPr>
          <w:b/>
          <w:szCs w:val="21"/>
        </w:rPr>
      </w:pPr>
    </w:p>
    <w:p>
      <w:pPr>
        <w:tabs>
          <w:tab w:val="clear" w:pos="426"/>
        </w:tabs>
        <w:ind w:firstLine="422" w:firstLineChars="200"/>
        <w:rPr>
          <w:b/>
          <w:szCs w:val="21"/>
        </w:rPr>
      </w:pPr>
    </w:p>
    <w:p>
      <w:pPr>
        <w:tabs>
          <w:tab w:val="clear" w:pos="426"/>
        </w:tabs>
        <w:ind w:firstLine="422" w:firstLineChars="200"/>
        <w:rPr>
          <w:b/>
          <w:szCs w:val="21"/>
        </w:rPr>
      </w:pPr>
    </w:p>
    <w:p>
      <w:pPr>
        <w:tabs>
          <w:tab w:val="clear" w:pos="426"/>
        </w:tabs>
        <w:ind w:firstLine="424" w:firstLineChars="202"/>
        <w:rPr>
          <w:szCs w:val="21"/>
          <w:u w:val="single"/>
        </w:rPr>
      </w:pPr>
      <w:r>
        <w:rPr>
          <w:rFonts w:hint="eastAsia"/>
          <w:szCs w:val="21"/>
        </w:rPr>
        <w:t>投标人名称（单位盖</w:t>
      </w:r>
      <w:r>
        <w:rPr>
          <w:rFonts w:hint="eastAsia"/>
          <w:spacing w:val="4"/>
          <w:szCs w:val="21"/>
        </w:rPr>
        <w:t>公章</w:t>
      </w:r>
      <w:r>
        <w:rPr>
          <w:rFonts w:hint="eastAsia"/>
          <w:szCs w:val="21"/>
        </w:rPr>
        <w:t>）：</w:t>
      </w:r>
      <w:r>
        <w:rPr>
          <w:szCs w:val="21"/>
          <w:u w:val="single"/>
        </w:rPr>
        <w:t>_____________________________________________________</w:t>
      </w:r>
    </w:p>
    <w:p>
      <w:pPr>
        <w:tabs>
          <w:tab w:val="clear" w:pos="426"/>
        </w:tabs>
        <w:ind w:firstLine="424" w:firstLineChars="202"/>
        <w:rPr>
          <w:szCs w:val="21"/>
          <w:u w:val="single"/>
        </w:rPr>
      </w:pPr>
      <w:r>
        <w:rPr>
          <w:rFonts w:hint="eastAsia"/>
          <w:szCs w:val="21"/>
        </w:rPr>
        <w:t>地</w:t>
      </w:r>
      <w:r>
        <w:rPr>
          <w:szCs w:val="21"/>
        </w:rPr>
        <w:t xml:space="preserve">      </w:t>
      </w:r>
      <w:r>
        <w:rPr>
          <w:rFonts w:hint="eastAsia"/>
          <w:szCs w:val="21"/>
        </w:rPr>
        <w:t>址：</w:t>
      </w:r>
      <w:r>
        <w:rPr>
          <w:szCs w:val="21"/>
          <w:u w:val="single"/>
        </w:rPr>
        <w:t>___________________________________________________________________</w:t>
      </w:r>
    </w:p>
    <w:p>
      <w:pPr>
        <w:tabs>
          <w:tab w:val="clear" w:pos="426"/>
        </w:tabs>
        <w:ind w:firstLine="424" w:firstLineChars="202"/>
        <w:rPr>
          <w:szCs w:val="21"/>
        </w:rPr>
      </w:pPr>
      <w:r>
        <w:rPr>
          <w:rFonts w:hint="eastAsia"/>
          <w:szCs w:val="21"/>
        </w:rPr>
        <w:t>法定代表人（签字或盖章）：</w:t>
      </w:r>
      <w:r>
        <w:rPr>
          <w:szCs w:val="21"/>
          <w:u w:val="single"/>
        </w:rPr>
        <w:t>______________________</w:t>
      </w:r>
      <w:r>
        <w:rPr>
          <w:szCs w:val="21"/>
        </w:rPr>
        <w:t xml:space="preserve"> 签字日期：</w:t>
      </w:r>
      <w:r>
        <w:rPr>
          <w:szCs w:val="21"/>
          <w:u w:val="single"/>
        </w:rPr>
        <w:t>________</w:t>
      </w:r>
      <w:r>
        <w:rPr>
          <w:rFonts w:hint="eastAsia"/>
          <w:szCs w:val="21"/>
        </w:rPr>
        <w:t>年</w:t>
      </w:r>
      <w:r>
        <w:rPr>
          <w:szCs w:val="21"/>
          <w:u w:val="single"/>
        </w:rPr>
        <w:t>___</w:t>
      </w:r>
      <w:r>
        <w:rPr>
          <w:rFonts w:hint="eastAsia"/>
          <w:szCs w:val="21"/>
        </w:rPr>
        <w:t>月</w:t>
      </w:r>
      <w:r>
        <w:rPr>
          <w:szCs w:val="21"/>
          <w:u w:val="single"/>
        </w:rPr>
        <w:t>___</w:t>
      </w:r>
      <w:r>
        <w:rPr>
          <w:rFonts w:hint="eastAsia"/>
          <w:szCs w:val="21"/>
        </w:rPr>
        <w:t>日</w:t>
      </w:r>
    </w:p>
    <w:p>
      <w:pPr>
        <w:tabs>
          <w:tab w:val="clear" w:pos="426"/>
        </w:tabs>
        <w:ind w:firstLine="424" w:firstLineChars="202"/>
        <w:rPr>
          <w:szCs w:val="21"/>
        </w:rPr>
      </w:pPr>
      <w:r>
        <w:rPr>
          <w:rFonts w:hint="eastAsia"/>
          <w:szCs w:val="21"/>
        </w:rPr>
        <w:t>被授权人（投标人授权代表）（签字或盖章）：</w:t>
      </w:r>
      <w:r>
        <w:rPr>
          <w:szCs w:val="21"/>
          <w:u w:val="single"/>
        </w:rPr>
        <w:t>____________________________________</w:t>
      </w:r>
    </w:p>
    <w:p>
      <w:pPr>
        <w:tabs>
          <w:tab w:val="clear" w:pos="426"/>
        </w:tabs>
        <w:ind w:firstLine="424" w:firstLineChars="202"/>
        <w:rPr>
          <w:szCs w:val="21"/>
        </w:rPr>
      </w:pPr>
    </w:p>
    <w:p>
      <w:pPr>
        <w:tabs>
          <w:tab w:val="clear" w:pos="426"/>
        </w:tabs>
        <w:ind w:firstLine="424" w:firstLineChars="202"/>
        <w:rPr>
          <w:szCs w:val="21"/>
        </w:rPr>
      </w:pPr>
      <w:r>
        <w:rPr>
          <w:rFonts w:hint="eastAsia"/>
          <w:szCs w:val="21"/>
        </w:rPr>
        <w:t>附：被授权人身份证复印件：</w:t>
      </w:r>
    </w:p>
    <w:p>
      <w:pPr>
        <w:tabs>
          <w:tab w:val="clear" w:pos="426"/>
        </w:tabs>
        <w:ind w:firstLine="424" w:firstLineChars="202"/>
        <w:rPr>
          <w:szCs w:val="21"/>
        </w:rPr>
      </w:pPr>
    </w:p>
    <w:bookmarkEnd w:id="128"/>
    <w:bookmarkEnd w:id="129"/>
    <w:bookmarkEnd w:id="130"/>
    <w:bookmarkEnd w:id="131"/>
    <w:bookmarkEnd w:id="132"/>
    <w:p>
      <w:pPr>
        <w:tabs>
          <w:tab w:val="clear" w:pos="426"/>
        </w:tabs>
        <w:spacing w:line="300" w:lineRule="auto"/>
        <w:jc w:val="center"/>
      </w:pPr>
      <w:r>
        <w:br w:type="page"/>
      </w:r>
    </w:p>
    <w:p>
      <w:pPr>
        <w:widowControl w:val="0"/>
        <w:shd w:val="clear" w:color="auto" w:fill="auto"/>
        <w:tabs>
          <w:tab w:val="clear" w:pos="426"/>
        </w:tabs>
        <w:adjustRightInd/>
        <w:snapToGrid/>
        <w:spacing w:line="300" w:lineRule="auto"/>
        <w:jc w:val="center"/>
        <w:rPr>
          <w:rFonts w:cs="Times New Roman"/>
          <w:bCs/>
          <w:kern w:val="2"/>
          <w:sz w:val="32"/>
          <w:szCs w:val="32"/>
        </w:rPr>
      </w:pPr>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法定代表人证明书</w:t>
      </w:r>
    </w:p>
    <w:p>
      <w:pPr>
        <w:tabs>
          <w:tab w:val="clear" w:pos="426"/>
        </w:tabs>
        <w:spacing w:line="480" w:lineRule="auto"/>
        <w:ind w:firstLine="424" w:firstLineChars="202"/>
        <w:rPr>
          <w:u w:val="single"/>
        </w:rPr>
      </w:pPr>
    </w:p>
    <w:p>
      <w:pPr>
        <w:tabs>
          <w:tab w:val="clear" w:pos="426"/>
        </w:tabs>
        <w:spacing w:line="480" w:lineRule="auto"/>
        <w:ind w:firstLine="424" w:firstLineChars="202"/>
      </w:pPr>
      <w:r>
        <w:rPr>
          <w:u w:val="single"/>
        </w:rPr>
        <w:t>__________</w:t>
      </w:r>
      <w:r>
        <w:rPr>
          <w:rFonts w:hint="eastAsia"/>
        </w:rPr>
        <w:t>同志，现任我单位</w:t>
      </w:r>
      <w:r>
        <w:rPr>
          <w:u w:val="single"/>
        </w:rPr>
        <w:t>_________</w:t>
      </w:r>
      <w:r>
        <w:rPr>
          <w:rFonts w:hint="eastAsia"/>
        </w:rPr>
        <w:t>职务，为法定代表人，特此证明。</w:t>
      </w:r>
    </w:p>
    <w:p>
      <w:pPr>
        <w:tabs>
          <w:tab w:val="clear" w:pos="426"/>
        </w:tabs>
        <w:spacing w:line="480" w:lineRule="auto"/>
        <w:ind w:firstLine="424" w:firstLineChars="202"/>
      </w:pPr>
      <w:r>
        <w:rPr>
          <w:rFonts w:hint="eastAsia"/>
        </w:rPr>
        <w:t>本证明书自签发之日起生效，有效期与本公司投标文件中标注的投标有效期相同。</w:t>
      </w:r>
    </w:p>
    <w:p>
      <w:pPr>
        <w:tabs>
          <w:tab w:val="clear" w:pos="426"/>
        </w:tabs>
        <w:spacing w:line="480" w:lineRule="auto"/>
        <w:ind w:firstLine="424" w:firstLineChars="202"/>
      </w:pPr>
      <w:r>
        <w:rPr>
          <w:rFonts w:hint="eastAsia"/>
        </w:rPr>
        <w:t>附：</w:t>
      </w:r>
    </w:p>
    <w:p>
      <w:pPr>
        <w:tabs>
          <w:tab w:val="clear" w:pos="426"/>
        </w:tabs>
        <w:spacing w:line="480" w:lineRule="auto"/>
        <w:ind w:firstLine="424" w:firstLineChars="202"/>
      </w:pPr>
      <w:r>
        <w:rPr>
          <w:rFonts w:hint="eastAsia"/>
        </w:rPr>
        <w:t>营业执照（注册号）：</w:t>
      </w:r>
      <w:r>
        <w:rPr>
          <w:u w:val="single"/>
        </w:rPr>
        <w:t>_______________________________________________</w:t>
      </w:r>
    </w:p>
    <w:p>
      <w:pPr>
        <w:tabs>
          <w:tab w:val="clear" w:pos="426"/>
        </w:tabs>
        <w:spacing w:line="480" w:lineRule="auto"/>
        <w:ind w:firstLine="424" w:firstLineChars="202"/>
        <w:rPr>
          <w:u w:val="single"/>
        </w:rPr>
      </w:pPr>
      <w:r>
        <w:rPr>
          <w:rFonts w:hint="eastAsia"/>
        </w:rPr>
        <w:t>经济性质：</w:t>
      </w:r>
      <w:r>
        <w:rPr>
          <w:u w:val="single"/>
        </w:rPr>
        <w:t>_________________________________________________________</w:t>
      </w:r>
    </w:p>
    <w:p>
      <w:pPr>
        <w:tabs>
          <w:tab w:val="clear" w:pos="426"/>
        </w:tabs>
        <w:spacing w:line="480" w:lineRule="auto"/>
        <w:ind w:firstLine="424" w:firstLineChars="202"/>
        <w:rPr>
          <w:u w:val="single"/>
        </w:rPr>
      </w:pPr>
      <w:r>
        <w:rPr>
          <w:rFonts w:hint="eastAsia"/>
        </w:rPr>
        <w:t>主营（产）：</w:t>
      </w:r>
      <w:r>
        <w:rPr>
          <w:u w:val="single"/>
        </w:rPr>
        <w:t>_______________________________________________________</w:t>
      </w:r>
    </w:p>
    <w:p>
      <w:pPr>
        <w:tabs>
          <w:tab w:val="clear" w:pos="426"/>
        </w:tabs>
        <w:spacing w:line="480" w:lineRule="auto"/>
        <w:ind w:firstLine="424" w:firstLineChars="202"/>
        <w:rPr>
          <w:u w:val="single"/>
        </w:rPr>
      </w:pPr>
      <w:r>
        <w:rPr>
          <w:rFonts w:hint="eastAsia"/>
        </w:rPr>
        <w:t>兼营（产）：</w:t>
      </w:r>
      <w:r>
        <w:rPr>
          <w:u w:val="single"/>
        </w:rPr>
        <w:t>_______________________________________________________</w:t>
      </w:r>
    </w:p>
    <w:p>
      <w:pPr>
        <w:tabs>
          <w:tab w:val="clear" w:pos="426"/>
        </w:tabs>
        <w:ind w:firstLine="424" w:firstLineChars="202"/>
      </w:pPr>
    </w:p>
    <w:p>
      <w:pPr>
        <w:tabs>
          <w:tab w:val="clear" w:pos="426"/>
        </w:tabs>
        <w:ind w:firstLine="424" w:firstLineChars="202"/>
        <w:rPr>
          <w:szCs w:val="21"/>
        </w:rPr>
      </w:pPr>
      <w:r>
        <w:rPr>
          <w:rFonts w:hint="eastAsia"/>
          <w:szCs w:val="21"/>
        </w:rPr>
        <w:t>附：法定代表人身份证复印件：</w:t>
      </w:r>
    </w:p>
    <w:p>
      <w:pPr>
        <w:tabs>
          <w:tab w:val="clear" w:pos="426"/>
        </w:tabs>
        <w:ind w:firstLine="424" w:firstLineChars="202"/>
        <w:rPr>
          <w:szCs w:val="21"/>
        </w:rPr>
      </w:pPr>
    </w:p>
    <w:p>
      <w:pPr>
        <w:tabs>
          <w:tab w:val="clear" w:pos="426"/>
        </w:tabs>
        <w:ind w:firstLine="424" w:firstLineChars="202"/>
        <w:rPr>
          <w:szCs w:val="21"/>
        </w:rPr>
      </w:pPr>
    </w:p>
    <w:p>
      <w:pPr>
        <w:tabs>
          <w:tab w:val="clear" w:pos="426"/>
        </w:tabs>
        <w:ind w:firstLine="424" w:firstLineChars="202"/>
        <w:rPr>
          <w:szCs w:val="21"/>
        </w:rPr>
      </w:pPr>
    </w:p>
    <w:p>
      <w:pPr>
        <w:tabs>
          <w:tab w:val="clear" w:pos="426"/>
        </w:tabs>
        <w:spacing w:line="500" w:lineRule="exact"/>
        <w:ind w:left="3826" w:leftChars="1822"/>
        <w:rPr>
          <w:u w:val="single"/>
        </w:rPr>
      </w:pPr>
      <w:r>
        <w:rPr>
          <w:rFonts w:hint="eastAsia"/>
        </w:rPr>
        <w:t>投标人名称（单位盖</w:t>
      </w:r>
      <w:r>
        <w:rPr>
          <w:rFonts w:hint="eastAsia"/>
          <w:spacing w:val="4"/>
        </w:rPr>
        <w:t>公章</w:t>
      </w:r>
      <w:r>
        <w:rPr>
          <w:rFonts w:hint="eastAsia"/>
        </w:rPr>
        <w:t>）：</w:t>
      </w:r>
      <w:r>
        <w:rPr>
          <w:u w:val="single"/>
        </w:rPr>
        <w:t>_____________________</w:t>
      </w:r>
    </w:p>
    <w:p>
      <w:pPr>
        <w:tabs>
          <w:tab w:val="clear" w:pos="426"/>
        </w:tabs>
        <w:spacing w:line="500" w:lineRule="exact"/>
        <w:ind w:left="3826" w:leftChars="1822"/>
        <w:rPr>
          <w:u w:val="single"/>
        </w:rPr>
      </w:pPr>
      <w:r>
        <w:rPr>
          <w:rFonts w:hint="eastAsia"/>
        </w:rPr>
        <w:t>地址：</w:t>
      </w:r>
      <w:r>
        <w:rPr>
          <w:u w:val="single"/>
        </w:rPr>
        <w:t>___________________________________________</w:t>
      </w:r>
    </w:p>
    <w:p>
      <w:pPr>
        <w:tabs>
          <w:tab w:val="clear" w:pos="426"/>
        </w:tabs>
        <w:spacing w:line="500" w:lineRule="exact"/>
        <w:ind w:left="3826" w:leftChars="1822"/>
        <w:rPr>
          <w:u w:val="single"/>
        </w:rPr>
      </w:pPr>
      <w:r>
        <w:rPr>
          <w:rFonts w:hint="eastAsia"/>
        </w:rPr>
        <w:t>签发日期：</w:t>
      </w:r>
      <w:r>
        <w:rPr>
          <w:u w:val="single"/>
        </w:rPr>
        <w:t>_______________________________________</w:t>
      </w:r>
    </w:p>
    <w:p>
      <w:pPr>
        <w:tabs>
          <w:tab w:val="clear" w:pos="426"/>
        </w:tabs>
        <w:spacing w:line="500" w:lineRule="exact"/>
        <w:ind w:left="3826" w:leftChars="1822"/>
        <w:rPr>
          <w:b/>
          <w:bCs/>
          <w:u w:val="single"/>
        </w:rPr>
      </w:pPr>
    </w:p>
    <w:p>
      <w:pPr>
        <w:numPr>
          <w:ilvl w:val="0"/>
          <w:numId w:val="6"/>
        </w:numPr>
        <w:adjustRightInd/>
        <w:snapToGrid/>
        <w:spacing w:before="280" w:after="290" w:line="377" w:lineRule="auto"/>
        <w:outlineLvl w:val="2"/>
        <w:rPr>
          <w:b/>
          <w:sz w:val="24"/>
        </w:rPr>
      </w:pPr>
      <w:r>
        <w:br w:type="page"/>
      </w:r>
      <w:bookmarkStart w:id="134" w:name="_Toc10884"/>
      <w:r>
        <w:rPr>
          <w:rFonts w:hint="eastAsia"/>
          <w:b/>
          <w:sz w:val="24"/>
        </w:rPr>
        <w:t>投标人基本情况表</w:t>
      </w:r>
      <w:bookmarkEnd w:id="134"/>
    </w:p>
    <w:p>
      <w:pPr>
        <w:widowControl w:val="0"/>
        <w:shd w:val="clear" w:color="auto" w:fill="auto"/>
        <w:tabs>
          <w:tab w:val="clear" w:pos="426"/>
        </w:tabs>
        <w:adjustRightInd/>
        <w:snapToGrid/>
        <w:spacing w:line="300" w:lineRule="auto"/>
        <w:jc w:val="center"/>
        <w:rPr>
          <w:rFonts w:cs="Times New Roman"/>
          <w:bCs/>
          <w:kern w:val="2"/>
          <w:sz w:val="32"/>
          <w:szCs w:val="32"/>
        </w:rPr>
      </w:pPr>
      <w:bookmarkStart w:id="135" w:name="_Toc480789478"/>
      <w:bookmarkStart w:id="136" w:name="_Toc275865616"/>
      <w:bookmarkStart w:id="137" w:name="_Toc480755928"/>
      <w:bookmarkStart w:id="138" w:name="_Toc480754207"/>
      <w:bookmarkStart w:id="139" w:name="_Toc173553182"/>
      <w:bookmarkStart w:id="140" w:name="_Toc480756074"/>
      <w:r>
        <w:rPr>
          <w:rFonts w:hint="eastAsia" w:cs="Times New Roman"/>
          <w:bCs/>
          <w:kern w:val="2"/>
          <w:sz w:val="32"/>
          <w:szCs w:val="32"/>
        </w:rPr>
        <w:t>投标人基本情况表</w:t>
      </w:r>
      <w:bookmarkEnd w:id="135"/>
      <w:bookmarkEnd w:id="136"/>
      <w:bookmarkEnd w:id="137"/>
      <w:bookmarkEnd w:id="138"/>
      <w:bookmarkEnd w:id="139"/>
      <w:bookmarkEnd w:id="140"/>
    </w:p>
    <w:p>
      <w:pPr>
        <w:widowControl w:val="0"/>
        <w:shd w:val="clear" w:color="auto" w:fill="auto"/>
        <w:tabs>
          <w:tab w:val="clear" w:pos="426"/>
        </w:tabs>
        <w:adjustRightInd/>
        <w:snapToGrid/>
        <w:rPr>
          <w:rFonts w:cs="Arial"/>
          <w:b/>
          <w:szCs w:val="21"/>
        </w:rPr>
      </w:pPr>
      <w:r>
        <w:rPr>
          <w:rFonts w:hint="eastAsia" w:cs="Arial"/>
          <w:b/>
          <w:szCs w:val="21"/>
        </w:rPr>
        <w:t>一、</w:t>
      </w:r>
      <w:r>
        <w:rPr>
          <w:rFonts w:cs="Arial"/>
          <w:b/>
          <w:szCs w:val="21"/>
        </w:rPr>
        <w:t>公司基本情况</w:t>
      </w:r>
    </w:p>
    <w:p>
      <w:pPr>
        <w:widowControl w:val="0"/>
        <w:numPr>
          <w:ilvl w:val="1"/>
          <w:numId w:val="7"/>
        </w:numPr>
        <w:shd w:val="clear" w:color="auto" w:fill="auto"/>
        <w:tabs>
          <w:tab w:val="clear" w:pos="426"/>
        </w:tabs>
        <w:adjustRightInd/>
        <w:snapToGrid/>
        <w:ind w:left="0" w:firstLine="426"/>
        <w:rPr>
          <w:rFonts w:cs="Arial"/>
          <w:szCs w:val="21"/>
        </w:rPr>
      </w:pPr>
      <w:r>
        <w:rPr>
          <w:rFonts w:cs="Arial"/>
          <w:szCs w:val="21"/>
        </w:rPr>
        <w:t>公司名称：</w:t>
      </w:r>
      <w:r>
        <w:rPr>
          <w:rFonts w:cs="Arial"/>
          <w:szCs w:val="21"/>
          <w:u w:val="single"/>
        </w:rPr>
        <w:t>______________________________</w:t>
      </w:r>
      <w:r>
        <w:rPr>
          <w:rFonts w:cs="Arial"/>
          <w:szCs w:val="21"/>
        </w:rPr>
        <w:t xml:space="preserve">  电话号码：</w:t>
      </w:r>
      <w:r>
        <w:rPr>
          <w:rFonts w:cs="Arial"/>
          <w:szCs w:val="21"/>
          <w:u w:val="single"/>
        </w:rPr>
        <w:t>____________________________</w:t>
      </w:r>
    </w:p>
    <w:p>
      <w:pPr>
        <w:widowControl w:val="0"/>
        <w:numPr>
          <w:ilvl w:val="1"/>
          <w:numId w:val="7"/>
        </w:numPr>
        <w:shd w:val="clear" w:color="auto" w:fill="auto"/>
        <w:tabs>
          <w:tab w:val="clear" w:pos="426"/>
        </w:tabs>
        <w:adjustRightInd/>
        <w:snapToGrid/>
        <w:ind w:left="0" w:firstLine="426"/>
        <w:rPr>
          <w:rFonts w:cs="Arial"/>
          <w:szCs w:val="21"/>
        </w:rPr>
      </w:pPr>
      <w:r>
        <w:rPr>
          <w:rFonts w:cs="Arial"/>
          <w:szCs w:val="21"/>
        </w:rPr>
        <w:t>地    址：</w:t>
      </w:r>
      <w:r>
        <w:rPr>
          <w:rFonts w:cs="Arial"/>
          <w:szCs w:val="21"/>
          <w:u w:val="single"/>
        </w:rPr>
        <w:t>______________________________</w:t>
      </w:r>
      <w:r>
        <w:rPr>
          <w:rFonts w:cs="Arial"/>
          <w:szCs w:val="21"/>
        </w:rPr>
        <w:t xml:space="preserve">  传    真：</w:t>
      </w:r>
      <w:r>
        <w:rPr>
          <w:rFonts w:cs="Arial"/>
          <w:szCs w:val="21"/>
          <w:u w:val="single"/>
        </w:rPr>
        <w:t>_____________________________</w:t>
      </w:r>
    </w:p>
    <w:p>
      <w:pPr>
        <w:widowControl w:val="0"/>
        <w:numPr>
          <w:ilvl w:val="1"/>
          <w:numId w:val="7"/>
        </w:numPr>
        <w:shd w:val="clear" w:color="auto" w:fill="auto"/>
        <w:tabs>
          <w:tab w:val="clear" w:pos="426"/>
        </w:tabs>
        <w:adjustRightInd/>
        <w:snapToGrid/>
        <w:ind w:left="0" w:firstLine="426"/>
        <w:rPr>
          <w:rFonts w:cs="Arial"/>
          <w:szCs w:val="21"/>
          <w:u w:val="single"/>
        </w:rPr>
      </w:pPr>
      <w:r>
        <w:rPr>
          <w:rFonts w:cs="Arial"/>
          <w:szCs w:val="21"/>
        </w:rPr>
        <w:t>注册资金：</w:t>
      </w:r>
      <w:r>
        <w:rPr>
          <w:rFonts w:cs="Arial"/>
          <w:szCs w:val="21"/>
          <w:u w:val="single"/>
        </w:rPr>
        <w:t>______________________________</w:t>
      </w:r>
      <w:r>
        <w:rPr>
          <w:rFonts w:cs="Arial"/>
          <w:szCs w:val="21"/>
        </w:rPr>
        <w:t xml:space="preserve">  经济性质：</w:t>
      </w:r>
      <w:r>
        <w:rPr>
          <w:rFonts w:cs="Arial"/>
          <w:szCs w:val="21"/>
          <w:u w:val="single"/>
        </w:rPr>
        <w:t>_____________________________</w:t>
      </w:r>
    </w:p>
    <w:p>
      <w:pPr>
        <w:widowControl w:val="0"/>
        <w:numPr>
          <w:ilvl w:val="1"/>
          <w:numId w:val="7"/>
        </w:numPr>
        <w:shd w:val="clear" w:color="auto" w:fill="auto"/>
        <w:tabs>
          <w:tab w:val="clear" w:pos="426"/>
        </w:tabs>
        <w:adjustRightInd/>
        <w:snapToGrid/>
        <w:ind w:left="0" w:firstLine="426"/>
        <w:rPr>
          <w:rFonts w:cs="Arial"/>
          <w:szCs w:val="21"/>
        </w:rPr>
      </w:pPr>
      <w:r>
        <w:rPr>
          <w:rFonts w:cs="Arial"/>
          <w:szCs w:val="21"/>
        </w:rPr>
        <w:t>公司开户银行名称及账号：</w:t>
      </w:r>
      <w:r>
        <w:rPr>
          <w:rFonts w:cs="Arial"/>
          <w:szCs w:val="21"/>
          <w:u w:val="single"/>
        </w:rPr>
        <w:t>_________________________________________________________</w:t>
      </w:r>
    </w:p>
    <w:p>
      <w:pPr>
        <w:widowControl w:val="0"/>
        <w:numPr>
          <w:ilvl w:val="1"/>
          <w:numId w:val="7"/>
        </w:numPr>
        <w:shd w:val="clear" w:color="auto" w:fill="auto"/>
        <w:tabs>
          <w:tab w:val="clear" w:pos="426"/>
        </w:tabs>
        <w:adjustRightInd/>
        <w:snapToGrid/>
        <w:ind w:left="0" w:firstLine="426"/>
        <w:rPr>
          <w:rFonts w:cs="Arial"/>
          <w:szCs w:val="21"/>
        </w:rPr>
      </w:pPr>
      <w:r>
        <w:rPr>
          <w:rFonts w:cs="Arial"/>
          <w:szCs w:val="21"/>
        </w:rPr>
        <w:t>营业注册执照号：</w:t>
      </w:r>
      <w:r>
        <w:rPr>
          <w:rFonts w:cs="Arial"/>
          <w:szCs w:val="21"/>
          <w:u w:val="single"/>
        </w:rPr>
        <w:t>__________________________________________________________________</w:t>
      </w:r>
    </w:p>
    <w:p>
      <w:pPr>
        <w:widowControl w:val="0"/>
        <w:numPr>
          <w:ilvl w:val="1"/>
          <w:numId w:val="7"/>
        </w:numPr>
        <w:shd w:val="clear" w:color="auto" w:fill="auto"/>
        <w:tabs>
          <w:tab w:val="clear" w:pos="426"/>
        </w:tabs>
        <w:adjustRightInd/>
        <w:snapToGrid/>
        <w:ind w:left="0" w:firstLine="426"/>
        <w:rPr>
          <w:rFonts w:cs="Arial"/>
          <w:szCs w:val="21"/>
        </w:rPr>
      </w:pPr>
      <w:r>
        <w:rPr>
          <w:rFonts w:cs="Arial"/>
          <w:szCs w:val="21"/>
        </w:rPr>
        <w:t>公司简介</w:t>
      </w:r>
    </w:p>
    <w:p>
      <w:pPr>
        <w:tabs>
          <w:tab w:val="clear" w:pos="426"/>
        </w:tabs>
        <w:ind w:firstLine="426"/>
      </w:pPr>
      <w:r>
        <w:rPr>
          <w:rFonts w:hint="eastAsia"/>
        </w:rPr>
        <w:t>文字描述：</w:t>
      </w:r>
      <w:r>
        <w:rPr>
          <w:rFonts w:hint="eastAsia"/>
          <w:bCs/>
          <w:szCs w:val="21"/>
          <w:lang w:val="en-GB"/>
        </w:rPr>
        <w:t>发展历程、经营规模及服务理念</w:t>
      </w:r>
      <w:r>
        <w:rPr>
          <w:rFonts w:hint="eastAsia"/>
        </w:rPr>
        <w:t>、技术力量、财务状况、</w:t>
      </w:r>
      <w:r>
        <w:t>管理水平</w:t>
      </w:r>
      <w:r>
        <w:rPr>
          <w:rFonts w:hint="eastAsia"/>
        </w:rPr>
        <w:t>等方面进行阐述；</w:t>
      </w:r>
    </w:p>
    <w:p>
      <w:pPr>
        <w:tabs>
          <w:tab w:val="clear" w:pos="426"/>
        </w:tabs>
        <w:ind w:firstLine="426"/>
        <w:rPr>
          <w:rFonts w:cs="Arial"/>
          <w:szCs w:val="21"/>
        </w:rPr>
      </w:pPr>
      <w:r>
        <w:rPr>
          <w:rFonts w:hint="eastAsia"/>
        </w:rPr>
        <w:t>图片描述：</w:t>
      </w:r>
      <w:r>
        <w:rPr>
          <w:rFonts w:hint="eastAsia"/>
          <w:bCs/>
          <w:szCs w:val="21"/>
          <w:lang w:val="en-GB"/>
        </w:rPr>
        <w:t>经营场所、主要或关键产品介绍、生产场所及服务流程等。</w:t>
      </w:r>
    </w:p>
    <w:p>
      <w:pPr>
        <w:widowControl w:val="0"/>
        <w:shd w:val="clear" w:color="auto" w:fill="auto"/>
        <w:tabs>
          <w:tab w:val="clear" w:pos="426"/>
        </w:tabs>
        <w:adjustRightInd/>
        <w:snapToGrid/>
        <w:rPr>
          <w:rFonts w:cs="Arial"/>
          <w:b/>
          <w:szCs w:val="21"/>
        </w:rPr>
      </w:pPr>
      <w:r>
        <w:rPr>
          <w:rFonts w:hint="eastAsia" w:cs="Arial"/>
          <w:b/>
          <w:szCs w:val="21"/>
        </w:rPr>
        <w:t>二、供应商资格证明文件</w:t>
      </w:r>
    </w:p>
    <w:p>
      <w:pPr>
        <w:tabs>
          <w:tab w:val="clear" w:pos="426"/>
        </w:tabs>
        <w:spacing w:before="231" w:beforeLines="50"/>
        <w:ind w:firstLine="424" w:firstLineChars="201"/>
        <w:rPr>
          <w:b/>
        </w:rPr>
      </w:pPr>
      <w:r>
        <w:rPr>
          <w:rFonts w:hint="eastAsia"/>
          <w:b/>
        </w:rPr>
        <w:t>1.投标人须按本招标文件第一章招标公告 “申请人的资格要求”提供相关的资质证明，且已接受报名的单位，不代表资格审查通过。投标文件中未提供或提供不完整、不符合要求的，投标文件将按无效标的情形处理。</w:t>
      </w:r>
    </w:p>
    <w:p>
      <w:pPr>
        <w:tabs>
          <w:tab w:val="clear" w:pos="426"/>
        </w:tabs>
        <w:spacing w:before="231" w:beforeLines="50"/>
        <w:ind w:firstLine="424" w:firstLineChars="201"/>
        <w:rPr>
          <w:b/>
          <w:highlight w:val="none"/>
        </w:rPr>
      </w:pPr>
      <w:r>
        <w:rPr>
          <w:rFonts w:hint="eastAsia"/>
          <w:b/>
          <w:highlight w:val="none"/>
        </w:rPr>
        <w:t>2</w:t>
      </w:r>
      <w:r>
        <w:rPr>
          <w:b/>
          <w:highlight w:val="none"/>
        </w:rPr>
        <w:t>.</w:t>
      </w:r>
      <w:r>
        <w:rPr>
          <w:rFonts w:hint="eastAsia"/>
          <w:b/>
          <w:highlight w:val="none"/>
        </w:rPr>
        <w:t>优惠政策声明函等证明文件</w:t>
      </w:r>
    </w:p>
    <w:p>
      <w:pPr>
        <w:tabs>
          <w:tab w:val="clear" w:pos="426"/>
        </w:tabs>
        <w:spacing w:line="240" w:lineRule="auto"/>
        <w:ind w:firstLine="420"/>
        <w:rPr>
          <w:rFonts w:ascii="Times New Roman" w:hAnsi="Times New Roman" w:cs="Times New Roman"/>
          <w:szCs w:val="21"/>
        </w:rPr>
      </w:pPr>
      <w:r>
        <w:rPr>
          <w:rFonts w:ascii="Times New Roman" w:hAnsi="Times New Roman" w:cs="Times New Roman"/>
          <w:szCs w:val="21"/>
        </w:rPr>
        <w:t>填写指引：</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1.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2011〕300号）或向深圳市中小企业服务局咨询。</w:t>
      </w:r>
      <w:r>
        <w:rPr>
          <w:rFonts w:hint="eastAsia"/>
          <w:szCs w:val="21"/>
        </w:rPr>
        <w:t>中小企业参加政府采购活动，应当按照国务院批准的《中小企业划型标准规定》（工信部联企业〔2011〕300 号）、《金融业企业划型标准规定》（银发〔2015〕309 号）和《财政部 工业和信息化部关于印发〈政府采购促进中小企业发展管理办法〉的通知》（财库〔2020〕46 号）的规定，出具《中小企业声明函》，《中小企业声明函》中相关企业所属行业应当与采购标的所属行业相一致。该部分内容填写需要参考的相关文件：(1)财政部《政府采购促进中小企业发展管理办法》（财库〔2020〕46号）；(2)《工业和信息化部、国家统计局、国家发展和改革委员会、财政部关于印发中小企业划型标准规定的通知》（工信部联企业〔2011〕300 号，以下简称300号文）。</w:t>
      </w:r>
      <w:r>
        <w:rPr>
          <w:rFonts w:ascii="Times New Roman" w:hAnsi="Times New Roman" w:cs="Times New Roman"/>
          <w:bCs/>
          <w:szCs w:val="21"/>
        </w:rPr>
        <w:t xml:space="preserve">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2.该部分内容填写需要参考的相关文件（</w:t>
      </w:r>
      <w:r>
        <w:rPr>
          <w:rStyle w:val="141"/>
          <w:rFonts w:ascii="Times New Roman" w:hAnsi="Times New Roman" w:cs="Times New Roman"/>
        </w:rPr>
        <w:t>-</w:t>
      </w:r>
      <w:r>
        <w:fldChar w:fldCharType="begin"/>
      </w:r>
      <w:r>
        <w:instrText xml:space="preserve"> HYPERLINK "http://www.szsszx.com/Files/Editor/file/202106041655230146.rar" </w:instrText>
      </w:r>
      <w:r>
        <w:fldChar w:fldCharType="separate"/>
      </w:r>
      <w:r>
        <w:rPr>
          <w:rStyle w:val="141"/>
          <w:rFonts w:ascii="Times New Roman" w:hAnsi="Times New Roman" w:cs="Times New Roman"/>
          <w:bCs/>
          <w:szCs w:val="21"/>
        </w:rPr>
        <w:t>点此下载</w:t>
      </w:r>
      <w:r>
        <w:rPr>
          <w:rStyle w:val="141"/>
          <w:rFonts w:ascii="Times New Roman" w:hAnsi="Times New Roman" w:cs="Times New Roman"/>
          <w:bCs/>
          <w:szCs w:val="21"/>
        </w:rPr>
        <w:fldChar w:fldCharType="end"/>
      </w:r>
      <w:r>
        <w:rPr>
          <w:rStyle w:val="141"/>
          <w:rFonts w:ascii="Times New Roman" w:hAnsi="Times New Roman" w:cs="Times New Roman"/>
        </w:rPr>
        <w:t>-</w:t>
      </w:r>
      <w:r>
        <w:rPr>
          <w:rFonts w:ascii="Times New Roman" w:hAnsi="Times New Roman" w:cs="Times New Roman"/>
          <w:bCs/>
          <w:szCs w:val="21"/>
        </w:rPr>
        <w:t>）：</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（1）财政部《关于印发&lt;政府采购促进中小企业发展管理办法&gt;的通知》（财库〔2020〕46号）；</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w:t>
      </w:r>
      <w:r>
        <w:rPr>
          <w:rFonts w:hint="eastAsia" w:ascii="Times New Roman" w:hAnsi="Times New Roman" w:cs="Times New Roman"/>
          <w:bCs/>
          <w:szCs w:val="21"/>
        </w:rPr>
        <w:t>2</w:t>
      </w:r>
      <w:r>
        <w:rPr>
          <w:rFonts w:ascii="Times New Roman" w:hAnsi="Times New Roman" w:cs="Times New Roman"/>
          <w:bCs/>
          <w:szCs w:val="21"/>
        </w:rPr>
        <w:t xml:space="preserve">）《工业和信息化部、国家统计局、国家发展和改革委员会、财政部关于印发中小企业划型标准规定的通知》（工信部联企业〔2011〕300号）。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3.请依照提供的格式和内容填写声明函，不要随意变更格式或增删内容；满足多项优惠政策的企业，不重复享受多项价格扣除政策。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4.声明函具体填写要求：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（1）声明是中小企业须填写《中小企业声明函》的以下五项内容（填写位置的字体已加粗）：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第一处，在下划线上如实填写中型或小型或微型；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第二处，在下划线上如实填写中型或小型或微型；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第三处，在“采购单位名称”下划线处填写本项目的实际采购单位名称（深圳市深水水务咨询有限公司不是本项目的采购单位，而是本项目的组织实施机构）；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第四处，在“采购项目名称”下划线处填写本项目的实际项目名称（项目名称可在招标公告处查看）；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第五处，在“□本企业制造的货物” 或“□提供其他</w:t>
      </w:r>
      <w:r>
        <w:rPr>
          <w:rFonts w:ascii="Times New Roman" w:hAnsi="Times New Roman" w:cs="Times New Roman"/>
          <w:bCs/>
          <w:szCs w:val="21"/>
          <w:u w:val="single"/>
        </w:rPr>
        <w:t>______</w:t>
      </w:r>
      <w:r>
        <w:rPr>
          <w:rFonts w:ascii="Times New Roman" w:hAnsi="Times New Roman" w:cs="Times New Roman"/>
          <w:bCs/>
          <w:szCs w:val="21"/>
        </w:rPr>
        <w:t>企业（请填写：中型、小型、微型）制造的货物”两处中选择一处打√；如选择在“□提供其他</w:t>
      </w:r>
      <w:r>
        <w:rPr>
          <w:rFonts w:ascii="Times New Roman" w:hAnsi="Times New Roman" w:cs="Times New Roman"/>
          <w:bCs/>
          <w:szCs w:val="21"/>
          <w:u w:val="single"/>
        </w:rPr>
        <w:t>______</w:t>
      </w:r>
      <w:r>
        <w:rPr>
          <w:rFonts w:ascii="Times New Roman" w:hAnsi="Times New Roman" w:cs="Times New Roman"/>
          <w:bCs/>
          <w:szCs w:val="21"/>
        </w:rPr>
        <w:t xml:space="preserve">企业（请填写：中型、小型、微型）制造的货物”一处打√，还须在此下划线处如实填写中型或小型或微型；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同时请注意：“□本企业制造的货物” 、“□提供其他</w:t>
      </w:r>
      <w:r>
        <w:rPr>
          <w:rFonts w:ascii="Times New Roman" w:hAnsi="Times New Roman" w:cs="Times New Roman"/>
          <w:bCs/>
          <w:szCs w:val="21"/>
          <w:u w:val="single"/>
        </w:rPr>
        <w:t>______</w:t>
      </w:r>
      <w:r>
        <w:rPr>
          <w:rFonts w:ascii="Times New Roman" w:hAnsi="Times New Roman" w:cs="Times New Roman"/>
          <w:bCs/>
          <w:szCs w:val="21"/>
        </w:rPr>
        <w:t>企业（请填写：中型、小型、微型）制造的货物”中所称的货物是指单一产品采购项目中的货物，或者非单一产品采购项目中的核心产品（货物），不包括使用大型企业注册商标的货物；本项中的货物制造商应当在投标文件“分项报价清单”中明确列明。</w:t>
      </w:r>
    </w:p>
    <w:p>
      <w:pPr>
        <w:spacing w:line="240" w:lineRule="auto"/>
        <w:ind w:firstLine="422" w:firstLineChars="200"/>
        <w:rPr>
          <w:rFonts w:ascii="Times New Roman" w:hAnsi="Times New Roman" w:cs="Times New Roman"/>
          <w:b/>
          <w:bCs/>
          <w:color w:val="FF0000"/>
        </w:rPr>
      </w:pPr>
      <w:r>
        <w:rPr>
          <w:rFonts w:ascii="Times New Roman" w:hAnsi="Times New Roman" w:cs="Times New Roman"/>
          <w:b/>
          <w:bCs/>
          <w:color w:val="FF0000"/>
        </w:rPr>
        <w:t>《中小企业声明函》中制造商、承接/承建企业所属行业应当与招标文件要求的行业相一致，供应商如有疑问，可根据《国民经济行业分类》（GB/T4754-2002），结合《关 于 印 发 中 小 企 业 划 型 标 准 规 定 的 通 知 》 （ 工 信 部 联 企 业〔2011〕300 号）进行判断。事业单位、社会组织等非企业主体不享受中小企业扶持政策，但事业单位、社会组织等非企业主体提供全部由中小企业制造的货物参加货物采购项目的除外</w:t>
      </w:r>
      <w:r>
        <w:rPr>
          <w:rFonts w:hint="eastAsia" w:ascii="Times New Roman" w:hAnsi="Times New Roman" w:cs="Times New Roman"/>
          <w:b/>
          <w:bCs/>
          <w:color w:val="FF0000"/>
        </w:rPr>
        <w:t>。</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（2）声明是残疾人福利性单位须填写《残疾人福利性单位声明函》的三项内容（填写位置的字体已加粗），具体参照以上《中小企业声明函》填写要求执行。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（3）声明是监狱企业须填写《监狱企业声明函》的三项内容（填写位置的字体已加粗），具体参照以上《中小企业声明函》填写要求执行。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5.声明函的有效性最终由评审委员会判定；如评审委员会判定声明函无效，相关供应商不享受价格扣除（但不作投标无效处理）。</w:t>
      </w:r>
      <w:r>
        <w:rPr>
          <w:rFonts w:ascii="Times New Roman" w:hAnsi="Times New Roman" w:cs="Times New Roman"/>
          <w:szCs w:val="21"/>
        </w:rPr>
        <w:br w:type="page"/>
      </w:r>
    </w:p>
    <w:p>
      <w:pPr>
        <w:ind w:firstLine="420"/>
        <w:rPr>
          <w:rFonts w:ascii="Times New Roman" w:hAnsi="Times New Roman" w:cs="Times New Roman"/>
        </w:rPr>
      </w:pPr>
    </w:p>
    <w:p>
      <w:pPr>
        <w:tabs>
          <w:tab w:val="clear" w:pos="426"/>
        </w:tabs>
        <w:spacing w:line="240" w:lineRule="auto"/>
        <w:ind w:firstLine="643"/>
        <w:jc w:val="center"/>
        <w:outlineLvl w:val="3"/>
        <w:rPr>
          <w:rFonts w:ascii="Times New Roman" w:hAnsi="Times New Roman" w:cs="Times New Roman"/>
          <w:b/>
          <w:sz w:val="32"/>
          <w:szCs w:val="32"/>
        </w:rPr>
      </w:pPr>
      <w:r>
        <w:rPr>
          <w:rFonts w:ascii="Times New Roman" w:hAnsi="Times New Roman" w:cs="Times New Roman"/>
          <w:b/>
          <w:sz w:val="32"/>
          <w:szCs w:val="32"/>
        </w:rPr>
        <w:t>（一）中小企业声明函（样表）</w:t>
      </w:r>
    </w:p>
    <w:p>
      <w:pPr>
        <w:spacing w:line="240" w:lineRule="auto"/>
        <w:ind w:firstLine="420" w:firstLineChars="200"/>
        <w:jc w:val="left"/>
        <w:rPr>
          <w:rFonts w:ascii="Times New Roman" w:hAnsi="Times New Roman" w:cs="Times New Roman"/>
          <w:szCs w:val="21"/>
        </w:rPr>
      </w:pPr>
    </w:p>
    <w:p>
      <w:pPr>
        <w:spacing w:line="240" w:lineRule="auto"/>
        <w:ind w:firstLine="420" w:firstLineChars="200"/>
        <w:jc w:val="left"/>
        <w:rPr>
          <w:rFonts w:ascii="Times New Roman" w:hAnsi="Times New Roman" w:cs="Times New Roman"/>
          <w:szCs w:val="21"/>
        </w:rPr>
      </w:pPr>
      <w:r>
        <w:rPr>
          <w:rFonts w:ascii="Times New Roman" w:hAnsi="Times New Roman" w:cs="Times New Roman"/>
          <w:szCs w:val="21"/>
        </w:rPr>
        <w:t>本公司郑重声明，根据《关于印发&lt;政府采购促进中小企业发展管理办法&gt;的通知》（财库〔2020〕46号）的规定，本公司（联合体）参加</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(采购单位名称) </w:t>
      </w:r>
      <w:r>
        <w:rPr>
          <w:rFonts w:ascii="Times New Roman" w:hAnsi="Times New Roman" w:cs="Times New Roman"/>
          <w:szCs w:val="21"/>
        </w:rPr>
        <w:t>的</w:t>
      </w:r>
      <w:r>
        <w:rPr>
          <w:rFonts w:ascii="Times New Roman" w:hAnsi="Times New Roman" w:cs="Times New Roman"/>
          <w:szCs w:val="21"/>
          <w:u w:val="single"/>
        </w:rPr>
        <w:t>（采购项目名称）</w:t>
      </w:r>
      <w:r>
        <w:rPr>
          <w:rFonts w:hint="eastAsia" w:ascii="Times New Roman" w:hAnsi="Times New Roman" w:cs="Times New Roman"/>
          <w:szCs w:val="21"/>
          <w:u w:val="single"/>
        </w:rPr>
        <w:t xml:space="preserve"> </w:t>
      </w:r>
      <w:r>
        <w:rPr>
          <w:rFonts w:ascii="Times New Roman" w:hAnsi="Times New Roman" w:cs="Times New Roman"/>
          <w:szCs w:val="21"/>
        </w:rPr>
        <w:t>采购活动，</w:t>
      </w:r>
      <w:r>
        <w:rPr>
          <w:rFonts w:ascii="Times New Roman" w:hAnsi="Times New Roman" w:cs="Times New Roman"/>
          <w:szCs w:val="21"/>
          <w:u w:val="single"/>
        </w:rPr>
        <w:t>________________________</w:t>
      </w:r>
      <w:r>
        <w:rPr>
          <w:rFonts w:ascii="Times New Roman" w:hAnsi="Times New Roman" w:cs="Times New Roman"/>
          <w:szCs w:val="21"/>
        </w:rPr>
        <w:t>（填写说明：</w:t>
      </w:r>
      <w:r>
        <w:rPr>
          <w:rFonts w:ascii="Times New Roman" w:hAnsi="Times New Roman" w:cs="Times New Roman"/>
          <w:b/>
          <w:bCs/>
          <w:szCs w:val="21"/>
        </w:rPr>
        <w:t>货物类：提供的货物全部由符合政策要求的中小企业制造。</w:t>
      </w:r>
      <w:r>
        <w:rPr>
          <w:rFonts w:ascii="Times New Roman" w:hAnsi="Times New Roman" w:cs="Times New Roman"/>
          <w:szCs w:val="21"/>
        </w:rPr>
        <w:t>服务类：服务全部由符合政策要求的中小企业承接。工程类：工程的施工单位全部为符合政策要求的中小企业。）相关企业（含联合体中的中小企业、签订分包意向协议的中小企业）的具体情况如下：</w:t>
      </w:r>
    </w:p>
    <w:p>
      <w:pPr>
        <w:spacing w:line="240" w:lineRule="auto"/>
        <w:ind w:firstLine="420" w:firstLineChars="200"/>
        <w:jc w:val="left"/>
        <w:rPr>
          <w:rFonts w:ascii="Times New Roman" w:hAnsi="Times New Roman" w:cs="Times New Roman"/>
          <w:szCs w:val="21"/>
        </w:rPr>
      </w:pPr>
      <w:r>
        <w:rPr>
          <w:rFonts w:ascii="Times New Roman" w:hAnsi="Times New Roman" w:cs="Times New Roman"/>
          <w:szCs w:val="21"/>
        </w:rPr>
        <w:t>1.（标的名称），属于（采购文件中明确的所属行业）；承建（承接）企业为（企业名称），从业人员</w:t>
      </w:r>
      <w:r>
        <w:rPr>
          <w:rFonts w:ascii="Times New Roman" w:hAnsi="Times New Roman" w:cs="Times New Roman"/>
          <w:szCs w:val="21"/>
          <w:u w:val="single"/>
        </w:rPr>
        <w:t>____</w:t>
      </w:r>
      <w:r>
        <w:rPr>
          <w:rFonts w:ascii="Times New Roman" w:hAnsi="Times New Roman" w:cs="Times New Roman"/>
          <w:szCs w:val="21"/>
        </w:rPr>
        <w:t>人，营业收入为</w:t>
      </w:r>
      <w:r>
        <w:rPr>
          <w:rFonts w:ascii="Times New Roman" w:hAnsi="Times New Roman" w:cs="Times New Roman"/>
          <w:szCs w:val="21"/>
          <w:u w:val="single"/>
        </w:rPr>
        <w:t>____</w:t>
      </w:r>
      <w:r>
        <w:rPr>
          <w:rFonts w:ascii="Times New Roman" w:hAnsi="Times New Roman" w:cs="Times New Roman"/>
          <w:szCs w:val="21"/>
        </w:rPr>
        <w:t>万元，资产总额为</w:t>
      </w:r>
      <w:r>
        <w:rPr>
          <w:rFonts w:ascii="Times New Roman" w:hAnsi="Times New Roman" w:cs="Times New Roman"/>
          <w:szCs w:val="21"/>
          <w:u w:val="single"/>
        </w:rPr>
        <w:t>____</w:t>
      </w:r>
      <w:r>
        <w:rPr>
          <w:rFonts w:ascii="Times New Roman" w:hAnsi="Times New Roman" w:cs="Times New Roman"/>
          <w:szCs w:val="21"/>
        </w:rPr>
        <w:t>万元1，属于（中型企业、小型企业、微型企业）；</w:t>
      </w:r>
    </w:p>
    <w:p>
      <w:pPr>
        <w:spacing w:line="240" w:lineRule="auto"/>
        <w:ind w:firstLine="420" w:firstLineChars="200"/>
        <w:jc w:val="left"/>
        <w:rPr>
          <w:rFonts w:ascii="Times New Roman" w:hAnsi="Times New Roman" w:cs="Times New Roman"/>
          <w:szCs w:val="21"/>
        </w:rPr>
      </w:pPr>
      <w:r>
        <w:rPr>
          <w:rFonts w:ascii="Times New Roman" w:hAnsi="Times New Roman" w:cs="Times New Roman"/>
          <w:szCs w:val="21"/>
        </w:rPr>
        <w:t>2.（标的名称），属于（采购文件中明确的所属行业）；承建（承接）企业为（企业名称），从业人员</w:t>
      </w:r>
      <w:r>
        <w:rPr>
          <w:rFonts w:ascii="Times New Roman" w:hAnsi="Times New Roman" w:cs="Times New Roman"/>
          <w:szCs w:val="21"/>
          <w:u w:val="single"/>
        </w:rPr>
        <w:t>____</w:t>
      </w:r>
      <w:r>
        <w:rPr>
          <w:rFonts w:ascii="Times New Roman" w:hAnsi="Times New Roman" w:cs="Times New Roman"/>
          <w:szCs w:val="21"/>
        </w:rPr>
        <w:t>人，营业收入为</w:t>
      </w:r>
      <w:r>
        <w:rPr>
          <w:rFonts w:ascii="Times New Roman" w:hAnsi="Times New Roman" w:cs="Times New Roman"/>
          <w:szCs w:val="21"/>
          <w:u w:val="single"/>
        </w:rPr>
        <w:t>____</w:t>
      </w:r>
      <w:r>
        <w:rPr>
          <w:rFonts w:ascii="Times New Roman" w:hAnsi="Times New Roman" w:cs="Times New Roman"/>
          <w:szCs w:val="21"/>
        </w:rPr>
        <w:t>万元，资产总额为</w:t>
      </w:r>
      <w:r>
        <w:rPr>
          <w:rFonts w:ascii="Times New Roman" w:hAnsi="Times New Roman" w:cs="Times New Roman"/>
          <w:szCs w:val="21"/>
          <w:u w:val="single"/>
        </w:rPr>
        <w:t>____</w:t>
      </w:r>
      <w:r>
        <w:rPr>
          <w:rFonts w:ascii="Times New Roman" w:hAnsi="Times New Roman" w:cs="Times New Roman"/>
          <w:szCs w:val="21"/>
        </w:rPr>
        <w:t>万元，属于（中型企业、小型企业、微型企业）；</w:t>
      </w:r>
    </w:p>
    <w:p>
      <w:pPr>
        <w:spacing w:line="240" w:lineRule="auto"/>
        <w:ind w:firstLine="420" w:firstLineChars="200"/>
        <w:jc w:val="left"/>
        <w:rPr>
          <w:rFonts w:ascii="Times New Roman" w:hAnsi="Times New Roman" w:cs="Times New Roman"/>
          <w:szCs w:val="21"/>
        </w:rPr>
      </w:pPr>
      <w:r>
        <w:rPr>
          <w:rFonts w:ascii="Times New Roman" w:hAnsi="Times New Roman" w:cs="Times New Roman"/>
          <w:szCs w:val="21"/>
        </w:rPr>
        <w:t>……</w:t>
      </w:r>
    </w:p>
    <w:p>
      <w:pPr>
        <w:spacing w:line="240" w:lineRule="auto"/>
        <w:ind w:firstLine="420" w:firstLineChars="200"/>
        <w:jc w:val="left"/>
        <w:rPr>
          <w:rFonts w:ascii="Times New Roman" w:hAnsi="Times New Roman" w:cs="Times New Roman"/>
          <w:szCs w:val="21"/>
        </w:rPr>
      </w:pPr>
      <w:r>
        <w:rPr>
          <w:rFonts w:ascii="Times New Roman" w:hAnsi="Times New Roman" w:cs="Times New Roman"/>
          <w:szCs w:val="21"/>
        </w:rPr>
        <w:t>以上企业，不属于大企业的分支机构，不存在控股股东为大企业的情形，也不存在与大企业的负责人为同一人的情形。</w:t>
      </w:r>
    </w:p>
    <w:p>
      <w:pPr>
        <w:spacing w:line="240" w:lineRule="auto"/>
        <w:ind w:firstLine="420" w:firstLineChars="200"/>
        <w:jc w:val="left"/>
        <w:rPr>
          <w:rFonts w:ascii="Times New Roman" w:hAnsi="Times New Roman" w:cs="Times New Roman"/>
          <w:szCs w:val="21"/>
        </w:rPr>
      </w:pPr>
      <w:r>
        <w:rPr>
          <w:rFonts w:ascii="Times New Roman" w:hAnsi="Times New Roman" w:cs="Times New Roman"/>
          <w:szCs w:val="21"/>
        </w:rPr>
        <w:t>本企业对上述声明内容的真实性负责。如有虚假，将依法承担相应责任。</w:t>
      </w:r>
    </w:p>
    <w:p>
      <w:pPr>
        <w:spacing w:line="240" w:lineRule="auto"/>
        <w:ind w:firstLine="420" w:firstLineChars="200"/>
        <w:jc w:val="left"/>
        <w:rPr>
          <w:rFonts w:ascii="Times New Roman" w:hAnsi="Times New Roman" w:cs="Times New Roman"/>
          <w:szCs w:val="21"/>
        </w:rPr>
      </w:pPr>
    </w:p>
    <w:p>
      <w:pPr>
        <w:spacing w:line="240" w:lineRule="auto"/>
        <w:ind w:firstLine="420" w:firstLineChars="200"/>
        <w:jc w:val="left"/>
        <w:rPr>
          <w:rFonts w:ascii="Times New Roman" w:hAnsi="Times New Roman" w:cs="Times New Roman"/>
          <w:szCs w:val="21"/>
        </w:rPr>
      </w:pPr>
      <w:r>
        <w:rPr>
          <w:rFonts w:ascii="Times New Roman" w:hAnsi="Times New Roman" w:cs="Times New Roman"/>
          <w:szCs w:val="21"/>
        </w:rPr>
        <w:t>企业名称（盖章）：</w:t>
      </w:r>
    </w:p>
    <w:p>
      <w:pPr>
        <w:spacing w:line="240" w:lineRule="auto"/>
        <w:ind w:firstLine="420" w:firstLineChars="200"/>
        <w:jc w:val="left"/>
        <w:rPr>
          <w:rFonts w:ascii="Times New Roman" w:hAnsi="Times New Roman" w:cs="Times New Roman"/>
          <w:szCs w:val="21"/>
        </w:rPr>
      </w:pPr>
      <w:r>
        <w:rPr>
          <w:rFonts w:ascii="Times New Roman" w:hAnsi="Times New Roman" w:cs="Times New Roman"/>
          <w:szCs w:val="21"/>
        </w:rPr>
        <w:t>日期：</w:t>
      </w:r>
    </w:p>
    <w:p>
      <w:pPr>
        <w:spacing w:line="240" w:lineRule="auto"/>
        <w:ind w:firstLine="420" w:firstLineChars="200"/>
        <w:jc w:val="left"/>
        <w:rPr>
          <w:rFonts w:ascii="Times New Roman" w:hAnsi="Times New Roman" w:cs="Times New Roman"/>
          <w:szCs w:val="21"/>
        </w:rPr>
      </w:pPr>
    </w:p>
    <w:p>
      <w:pPr>
        <w:spacing w:line="240" w:lineRule="auto"/>
        <w:ind w:firstLine="420" w:firstLineChars="200"/>
        <w:jc w:val="left"/>
        <w:rPr>
          <w:rFonts w:ascii="Times New Roman" w:hAnsi="Times New Roman" w:cs="Times New Roman"/>
          <w:szCs w:val="21"/>
        </w:rPr>
      </w:pPr>
      <w:r>
        <w:rPr>
          <w:rFonts w:ascii="Times New Roman" w:hAnsi="Times New Roman" w:cs="Times New Roman"/>
          <w:szCs w:val="21"/>
        </w:rPr>
        <w:t>备注：1、从业人员、营业收入、资产总额填报上一年度数据，无上一年度数据的新成立企业可不填报。</w:t>
      </w:r>
    </w:p>
    <w:p>
      <w:pPr>
        <w:ind w:firstLine="420"/>
        <w:rPr>
          <w:rFonts w:ascii="Times New Roman" w:hAnsi="Times New Roman" w:cs="Times New Roman"/>
        </w:rPr>
      </w:pPr>
    </w:p>
    <w:p>
      <w:pPr>
        <w:ind w:firstLine="420"/>
        <w:rPr>
          <w:rFonts w:ascii="Times New Roman" w:hAnsi="Times New Roman" w:cs="Times New Roman"/>
        </w:rPr>
      </w:pPr>
    </w:p>
    <w:p>
      <w:pPr>
        <w:ind w:firstLine="420"/>
        <w:rPr>
          <w:rFonts w:ascii="Times New Roman" w:hAnsi="Times New Roman" w:cs="Times New Roman"/>
        </w:rPr>
      </w:pPr>
    </w:p>
    <w:p>
      <w:pPr>
        <w:spacing w:line="240" w:lineRule="auto"/>
        <w:ind w:firstLine="643"/>
        <w:jc w:val="center"/>
        <w:outlineLvl w:val="3"/>
        <w:rPr>
          <w:rFonts w:ascii="Times New Roman" w:hAnsi="Times New Roman" w:cs="Times New Roman"/>
          <w:b/>
          <w:sz w:val="32"/>
          <w:szCs w:val="32"/>
        </w:rPr>
      </w:pPr>
      <w:r>
        <w:rPr>
          <w:rFonts w:ascii="Times New Roman" w:hAnsi="Times New Roman" w:cs="Times New Roman"/>
          <w:b/>
          <w:sz w:val="32"/>
          <w:szCs w:val="32"/>
        </w:rPr>
        <w:t>（二）残疾人福利性单位声明函（样表）</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本单位郑重声明，根据《财政部民政部中国残疾人联合会关于促进残疾人就业政府采购政策的通知》（财库〔2017〕141</w:t>
      </w:r>
      <w:r>
        <w:rPr>
          <w:rFonts w:ascii="Times New Roman" w:hAnsi="Times New Roman" w:cs="Times New Roman"/>
          <w:szCs w:val="21"/>
          <w:u w:val="single"/>
        </w:rPr>
        <w:t>_</w:t>
      </w:r>
      <w:r>
        <w:rPr>
          <w:rFonts w:ascii="Times New Roman" w:hAnsi="Times New Roman" w:cs="Times New Roman"/>
          <w:szCs w:val="21"/>
        </w:rPr>
        <w:t>号）的规定，本单位为符合条件的残疾人福利性单位，且本单位参加</w:t>
      </w:r>
      <w:r>
        <w:rPr>
          <w:rFonts w:ascii="Times New Roman" w:hAnsi="Times New Roman" w:cs="Times New Roman"/>
          <w:szCs w:val="21"/>
          <w:u w:val="single"/>
        </w:rPr>
        <w:t>_（采购单位名称）_</w:t>
      </w:r>
      <w:r>
        <w:rPr>
          <w:rFonts w:ascii="Times New Roman" w:hAnsi="Times New Roman" w:cs="Times New Roman"/>
          <w:szCs w:val="21"/>
        </w:rPr>
        <w:t>单位的</w:t>
      </w:r>
      <w:r>
        <w:rPr>
          <w:rFonts w:ascii="Times New Roman" w:hAnsi="Times New Roman" w:cs="Times New Roman"/>
          <w:szCs w:val="21"/>
          <w:u w:val="single"/>
        </w:rPr>
        <w:t>_（采购项目名称）</w:t>
      </w:r>
      <w:r>
        <w:rPr>
          <w:rFonts w:ascii="Times New Roman" w:hAnsi="Times New Roman" w:cs="Times New Roman"/>
          <w:szCs w:val="21"/>
        </w:rPr>
        <w:t>项目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本单位对上述声明的真实性负责。如有虚假，将依法承担相应责任。</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单位名称（盖章）：</w:t>
      </w:r>
      <w:r>
        <w:rPr>
          <w:rFonts w:ascii="Times New Roman" w:hAnsi="Times New Roman" w:cs="Times New Roman"/>
          <w:szCs w:val="21"/>
          <w:u w:val="single"/>
        </w:rPr>
        <w:t>__________________</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w:t>
      </w:r>
    </w:p>
    <w:p>
      <w:pPr>
        <w:spacing w:line="240" w:lineRule="auto"/>
        <w:ind w:firstLine="420" w:firstLineChars="200"/>
        <w:jc w:val="right"/>
        <w:rPr>
          <w:rFonts w:ascii="Times New Roman" w:hAnsi="Times New Roman" w:cs="Times New Roman"/>
          <w:szCs w:val="21"/>
        </w:rPr>
      </w:pPr>
    </w:p>
    <w:p>
      <w:pPr>
        <w:spacing w:line="240" w:lineRule="auto"/>
        <w:ind w:firstLine="420" w:firstLineChars="200"/>
        <w:jc w:val="right"/>
        <w:rPr>
          <w:rFonts w:ascii="Times New Roman" w:hAnsi="Times New Roman" w:cs="Times New Roman"/>
          <w:szCs w:val="21"/>
        </w:rPr>
      </w:pPr>
    </w:p>
    <w:p>
      <w:pPr>
        <w:spacing w:line="240" w:lineRule="auto"/>
        <w:ind w:firstLine="420" w:firstLineChars="200"/>
        <w:jc w:val="right"/>
        <w:rPr>
          <w:rFonts w:ascii="Times New Roman" w:hAnsi="Times New Roman" w:cs="Times New Roman"/>
          <w:szCs w:val="21"/>
        </w:rPr>
      </w:pP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br w:type="page"/>
      </w:r>
    </w:p>
    <w:p>
      <w:pPr>
        <w:ind w:firstLine="420"/>
        <w:rPr>
          <w:rFonts w:ascii="Times New Roman" w:hAnsi="Times New Roman" w:cs="Times New Roman"/>
        </w:rPr>
      </w:pP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（三）省级以上监狱管理局、戒毒管理局（含新疆生产建设兵团）出具的属于监狱企业的证明文件（样表）</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本单位郑重声明，根据《财政部司法部关于政府采购支持监狱企业发展有关问题的通知》（财库〔2014〕68号）的规定，本单位为符合条件的监狱企业，且本单位参加</w:t>
      </w:r>
      <w:r>
        <w:rPr>
          <w:rFonts w:ascii="Times New Roman" w:hAnsi="Times New Roman" w:cs="Times New Roman"/>
          <w:szCs w:val="21"/>
          <w:u w:val="single"/>
        </w:rPr>
        <w:t>_（采购单位名称）_</w:t>
      </w:r>
      <w:r>
        <w:rPr>
          <w:rFonts w:ascii="Times New Roman" w:hAnsi="Times New Roman" w:cs="Times New Roman"/>
          <w:szCs w:val="21"/>
        </w:rPr>
        <w:t>单位的</w:t>
      </w:r>
      <w:r>
        <w:rPr>
          <w:rFonts w:ascii="Times New Roman" w:hAnsi="Times New Roman" w:cs="Times New Roman"/>
          <w:szCs w:val="21"/>
          <w:u w:val="single"/>
        </w:rPr>
        <w:t>（采购项目名称）</w:t>
      </w:r>
      <w:r>
        <w:rPr>
          <w:rFonts w:ascii="Times New Roman" w:hAnsi="Times New Roman" w:cs="Times New Roman"/>
          <w:szCs w:val="21"/>
        </w:rPr>
        <w:t>项目采购活动，并提供:□本单位制造的货物;□由本单位承担的工程、提供服务;□提供其他监狱企业制造的货物（承诺人在□处打√）。本条所称货物是指单一产品采购项目中的货物，或者非单一产品采购项目中的核心产品（货物）。</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本单位对上述声明的真实性负责。如有虚假，将依法承担相应责任。</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附：省级以上监狱管理局、戒毒管理局（含新疆生产建设兵团）出具的监狱企业证明文件。</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单位名称（盖章）：</w:t>
      </w:r>
      <w:r>
        <w:rPr>
          <w:rFonts w:ascii="Times New Roman" w:hAnsi="Times New Roman" w:cs="Times New Roman"/>
          <w:szCs w:val="21"/>
          <w:u w:val="single"/>
        </w:rPr>
        <w:t>__________________</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w:t>
      </w:r>
    </w:p>
    <w:p>
      <w:pPr>
        <w:ind w:firstLine="420"/>
        <w:rPr>
          <w:rFonts w:ascii="Times New Roman" w:hAnsi="Times New Roman" w:cs="Times New Roman"/>
        </w:rPr>
      </w:pPr>
    </w:p>
    <w:p>
      <w:pPr>
        <w:ind w:firstLine="420"/>
        <w:rPr>
          <w:rFonts w:ascii="Times New Roman" w:hAnsi="Times New Roman" w:cs="Times New Roman"/>
        </w:rPr>
      </w:pPr>
    </w:p>
    <w:p>
      <w:pPr>
        <w:ind w:firstLine="420"/>
        <w:rPr>
          <w:rFonts w:ascii="Times New Roman" w:hAnsi="Times New Roman" w:cs="Times New Roman"/>
        </w:rPr>
      </w:pP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（四）含有小型、微型企业的联合体声明函（样表）</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u w:val="single"/>
        </w:rPr>
        <w:t>___</w:t>
      </w:r>
      <w:r>
        <w:rPr>
          <w:rFonts w:ascii="Times New Roman" w:hAnsi="Times New Roman" w:cs="Times New Roman"/>
          <w:szCs w:val="21"/>
        </w:rPr>
        <w:t>（供应商名称、供应商名称）</w:t>
      </w:r>
      <w:r>
        <w:rPr>
          <w:rFonts w:ascii="Times New Roman" w:hAnsi="Times New Roman" w:cs="Times New Roman"/>
          <w:szCs w:val="21"/>
          <w:u w:val="single"/>
        </w:rPr>
        <w:t>____</w:t>
      </w:r>
      <w:r>
        <w:rPr>
          <w:rFonts w:ascii="Times New Roman" w:hAnsi="Times New Roman" w:cs="Times New Roman"/>
          <w:szCs w:val="21"/>
        </w:rPr>
        <w:t>共同组成联合体（详见联合体协议）。根据《工业和信息化部、国家统计局、国家发展和改革委员会、财政部关于印发中小企业划型标准规定的通知》（工信部联企业〔2011〕300</w:t>
      </w:r>
      <w:r>
        <w:rPr>
          <w:rFonts w:ascii="Times New Roman" w:hAnsi="Times New Roman" w:cs="Times New Roman"/>
          <w:szCs w:val="21"/>
          <w:u w:val="single"/>
        </w:rPr>
        <w:t>_</w:t>
      </w:r>
      <w:r>
        <w:rPr>
          <w:rFonts w:ascii="Times New Roman" w:hAnsi="Times New Roman" w:cs="Times New Roman"/>
          <w:szCs w:val="21"/>
        </w:rPr>
        <w:t>号）规定的划分标准，本联合体中：□</w:t>
      </w:r>
      <w:r>
        <w:rPr>
          <w:rFonts w:ascii="Times New Roman" w:hAnsi="Times New Roman" w:cs="Times New Roman"/>
          <w:szCs w:val="21"/>
          <w:u w:val="single"/>
        </w:rPr>
        <w:t>______</w:t>
      </w:r>
      <w:r>
        <w:rPr>
          <w:rFonts w:ascii="Times New Roman" w:hAnsi="Times New Roman" w:cs="Times New Roman"/>
          <w:szCs w:val="21"/>
        </w:rPr>
        <w:t>单位为</w:t>
      </w:r>
      <w:r>
        <w:rPr>
          <w:rFonts w:ascii="Times New Roman" w:hAnsi="Times New Roman" w:cs="Times New Roman"/>
          <w:szCs w:val="21"/>
          <w:u w:val="single"/>
        </w:rPr>
        <w:t>______</w:t>
      </w:r>
      <w:r>
        <w:rPr>
          <w:rFonts w:ascii="Times New Roman" w:hAnsi="Times New Roman" w:cs="Times New Roman"/>
          <w:szCs w:val="21"/>
        </w:rPr>
        <w:t>（请填写：中型、小型、微型）企业，</w:t>
      </w:r>
      <w:r>
        <w:rPr>
          <w:rFonts w:ascii="Times New Roman" w:hAnsi="Times New Roman" w:cs="Times New Roman"/>
          <w:szCs w:val="21"/>
          <w:u w:val="single"/>
        </w:rPr>
        <w:t>______</w:t>
      </w:r>
      <w:r>
        <w:rPr>
          <w:rFonts w:ascii="Times New Roman" w:hAnsi="Times New Roman" w:cs="Times New Roman"/>
          <w:szCs w:val="21"/>
        </w:rPr>
        <w:t>单位为</w:t>
      </w:r>
      <w:r>
        <w:rPr>
          <w:rFonts w:ascii="Times New Roman" w:hAnsi="Times New Roman" w:cs="Times New Roman"/>
          <w:szCs w:val="21"/>
          <w:u w:val="single"/>
        </w:rPr>
        <w:t>______</w:t>
      </w:r>
      <w:r>
        <w:rPr>
          <w:rFonts w:ascii="Times New Roman" w:hAnsi="Times New Roman" w:cs="Times New Roman"/>
          <w:szCs w:val="21"/>
        </w:rPr>
        <w:t>（请填写：中型、小型、微型）企业；□联合体各方均为小微企业（承诺人在□处打√）。</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2.本联合体参加</w:t>
      </w:r>
      <w:r>
        <w:rPr>
          <w:rFonts w:ascii="Times New Roman" w:hAnsi="Times New Roman" w:cs="Times New Roman"/>
          <w:szCs w:val="21"/>
          <w:u w:val="single"/>
        </w:rPr>
        <w:t>_（采购单位名称</w:t>
      </w:r>
      <w:r>
        <w:rPr>
          <w:rFonts w:ascii="Times New Roman" w:hAnsi="Times New Roman" w:cs="Times New Roman"/>
          <w:szCs w:val="21"/>
        </w:rPr>
        <w:t>）</w:t>
      </w:r>
      <w:r>
        <w:rPr>
          <w:rFonts w:ascii="Times New Roman" w:hAnsi="Times New Roman" w:cs="Times New Roman"/>
          <w:szCs w:val="21"/>
          <w:u w:val="single"/>
        </w:rPr>
        <w:t>_</w:t>
      </w:r>
      <w:r>
        <w:rPr>
          <w:rFonts w:ascii="Times New Roman" w:hAnsi="Times New Roman" w:cs="Times New Roman"/>
          <w:szCs w:val="21"/>
        </w:rPr>
        <w:t>单位的</w:t>
      </w:r>
      <w:r>
        <w:rPr>
          <w:rFonts w:ascii="Times New Roman" w:hAnsi="Times New Roman" w:cs="Times New Roman"/>
          <w:szCs w:val="21"/>
          <w:u w:val="single"/>
        </w:rPr>
        <w:t>_（采购项目名称）_</w:t>
      </w:r>
      <w:r>
        <w:rPr>
          <w:rFonts w:ascii="Times New Roman" w:hAnsi="Times New Roman" w:cs="Times New Roman"/>
          <w:szCs w:val="21"/>
        </w:rPr>
        <w:t>项目采购活动，其中，小型、微型企业协议合同金额占到联合体协议总金额比例为</w:t>
      </w:r>
      <w:r>
        <w:rPr>
          <w:rFonts w:ascii="Times New Roman" w:hAnsi="Times New Roman" w:cs="Times New Roman"/>
          <w:szCs w:val="21"/>
          <w:u w:val="single"/>
        </w:rPr>
        <w:t>_____</w:t>
      </w:r>
      <w:r>
        <w:rPr>
          <w:rFonts w:ascii="Times New Roman" w:hAnsi="Times New Roman" w:cs="Times New Roman"/>
          <w:szCs w:val="21"/>
        </w:rPr>
        <w:t>%（该合同金额为：□小微企业制造的货物，□小微企业承担的工程、提供服务，□提供其他小微企业制造的货物；不包括使用大型企业注册商标的货物；请承诺人在□处打√），符合《政府采购促进中小企业发展暂行办法》(财库〔2011〕181</w:t>
      </w:r>
      <w:r>
        <w:rPr>
          <w:rFonts w:ascii="Times New Roman" w:hAnsi="Times New Roman" w:cs="Times New Roman"/>
          <w:szCs w:val="21"/>
          <w:u w:val="single"/>
        </w:rPr>
        <w:t>_</w:t>
      </w:r>
      <w:r>
        <w:rPr>
          <w:rFonts w:ascii="Times New Roman" w:hAnsi="Times New Roman" w:cs="Times New Roman"/>
          <w:szCs w:val="21"/>
        </w:rPr>
        <w:t>号)第六条规定的优惠政策。本联合体对上述声明的真实性负责。如有虚假，将依法承担相应责任。</w:t>
      </w:r>
    </w:p>
    <w:p>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企业1名称（盖章）：</w:t>
      </w:r>
      <w:r>
        <w:rPr>
          <w:rFonts w:ascii="Times New Roman" w:hAnsi="Times New Roman" w:cs="Times New Roman"/>
          <w:szCs w:val="21"/>
          <w:u w:val="single"/>
        </w:rPr>
        <w:t>_______________________</w:t>
      </w:r>
      <w:r>
        <w:rPr>
          <w:rFonts w:ascii="Times New Roman" w:hAnsi="Times New Roman" w:cs="Times New Roman"/>
          <w:szCs w:val="21"/>
        </w:rPr>
        <w:t xml:space="preserve"> </w:t>
      </w:r>
    </w:p>
    <w:p>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_____________________________________</w:t>
      </w:r>
      <w:r>
        <w:rPr>
          <w:rFonts w:ascii="Times New Roman" w:hAnsi="Times New Roman" w:cs="Times New Roman"/>
          <w:szCs w:val="21"/>
        </w:rPr>
        <w:t xml:space="preserve"> </w:t>
      </w:r>
    </w:p>
    <w:p>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企业2名称（盖章）：</w:t>
      </w:r>
      <w:r>
        <w:rPr>
          <w:rFonts w:ascii="Times New Roman" w:hAnsi="Times New Roman" w:cs="Times New Roman"/>
          <w:szCs w:val="21"/>
          <w:u w:val="single"/>
        </w:rPr>
        <w:t>_______________________</w:t>
      </w:r>
    </w:p>
    <w:p>
      <w:pPr>
        <w:tabs>
          <w:tab w:val="clear" w:pos="426"/>
        </w:tabs>
        <w:spacing w:line="240" w:lineRule="auto"/>
        <w:ind w:left="424" w:leftChars="202" w:firstLine="420"/>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_____________________________________</w:t>
      </w:r>
    </w:p>
    <w:p>
      <w:pPr>
        <w:widowControl w:val="0"/>
        <w:shd w:val="clear" w:color="auto" w:fill="auto"/>
        <w:tabs>
          <w:tab w:val="clear" w:pos="426"/>
        </w:tabs>
        <w:adjustRightInd/>
        <w:snapToGrid/>
        <w:spacing w:line="300" w:lineRule="auto"/>
        <w:jc w:val="center"/>
        <w:rPr>
          <w:rFonts w:cs="Times New Roman"/>
          <w:bCs/>
          <w:kern w:val="2"/>
          <w:sz w:val="32"/>
          <w:szCs w:val="32"/>
        </w:rPr>
      </w:pPr>
    </w:p>
    <w:p>
      <w:pPr>
        <w:tabs>
          <w:tab w:val="clear" w:pos="426"/>
        </w:tabs>
        <w:spacing w:line="500" w:lineRule="exact"/>
        <w:ind w:left="424" w:leftChars="202"/>
        <w:rPr>
          <w:spacing w:val="4"/>
        </w:rPr>
      </w:pPr>
    </w:p>
    <w:p>
      <w:pPr>
        <w:tabs>
          <w:tab w:val="clear" w:pos="426"/>
        </w:tabs>
        <w:spacing w:before="231" w:beforeLines="50"/>
        <w:ind w:firstLine="424" w:firstLineChars="201"/>
        <w:rPr>
          <w:b/>
        </w:rPr>
      </w:pPr>
      <w:bookmarkStart w:id="141" w:name="_Toc435514861"/>
      <w:bookmarkStart w:id="142" w:name="_Toc256000035"/>
      <w:bookmarkStart w:id="143" w:name="_Toc50737330"/>
      <w:bookmarkStart w:id="144" w:name="_Toc50736478"/>
      <w:bookmarkStart w:id="145" w:name="_Toc435515302"/>
      <w:bookmarkStart w:id="146" w:name="_Toc170699948"/>
      <w:bookmarkStart w:id="147" w:name="_Toc435514862"/>
      <w:bookmarkStart w:id="148" w:name="_Toc435515301"/>
      <w:bookmarkStart w:id="149" w:name="_Toc50691038"/>
      <w:bookmarkStart w:id="150" w:name="_Toc50737298"/>
      <w:bookmarkStart w:id="151" w:name="_Toc275865622"/>
      <w:bookmarkStart w:id="152" w:name="_Toc275865623"/>
      <w:bookmarkStart w:id="153" w:name="_Toc275865609"/>
      <w:bookmarkStart w:id="154" w:name="_Toc26220"/>
      <w:bookmarkStart w:id="155" w:name="_Toc87417460"/>
      <w:bookmarkStart w:id="156" w:name="_Toc239051894"/>
      <w:bookmarkStart w:id="157" w:name="_Toc52165082"/>
      <w:r>
        <w:rPr>
          <w:rFonts w:hint="eastAsia"/>
          <w:b/>
          <w:lang w:val="en-US" w:eastAsia="zh-CN"/>
        </w:rPr>
        <w:t>3</w:t>
      </w:r>
      <w:r>
        <w:rPr>
          <w:rFonts w:hint="eastAsia"/>
          <w:b/>
        </w:rPr>
        <w:t>.分包意向协议书（格式，可选）</w:t>
      </w:r>
    </w:p>
    <w:p>
      <w:pPr>
        <w:shd w:val="clear" w:color="auto" w:fill="auto"/>
        <w:tabs>
          <w:tab w:val="clear" w:pos="426"/>
        </w:tabs>
        <w:adjustRightInd/>
        <w:snapToGrid/>
        <w:spacing w:before="231" w:beforeLines="50" w:line="240" w:lineRule="auto"/>
        <w:ind w:firstLine="482" w:firstLineChars="200"/>
        <w:jc w:val="left"/>
        <w:rPr>
          <w:rFonts w:ascii="Times New Roman" w:hAnsi="Times New Roman" w:cs="Times New Roman" w:eastAsiaTheme="minorEastAsia"/>
          <w:b/>
          <w:bCs/>
          <w:color w:val="000000" w:themeColor="text1"/>
          <w:sz w:val="24"/>
          <w14:textFill>
            <w14:solidFill>
              <w14:schemeClr w14:val="tx1"/>
            </w14:solidFill>
          </w14:textFill>
        </w:rPr>
      </w:pPr>
    </w:p>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Pr>
        <w:widowControl w:val="0"/>
        <w:shd w:val="clear" w:color="auto" w:fill="auto"/>
        <w:tabs>
          <w:tab w:val="left" w:pos="7740"/>
          <w:tab w:val="clear" w:pos="426"/>
        </w:tabs>
        <w:adjustRightInd/>
        <w:snapToGrid/>
        <w:spacing w:line="240" w:lineRule="auto"/>
        <w:rPr>
          <w:rFonts w:cs="Times New Roman"/>
          <w:kern w:val="10"/>
          <w:szCs w:val="21"/>
        </w:rPr>
      </w:pPr>
      <w:r>
        <w:rPr>
          <w:rFonts w:hint="eastAsia" w:cs="Times New Roman"/>
          <w:kern w:val="10"/>
          <w:szCs w:val="21"/>
        </w:rPr>
        <w:t>立约方：</w:t>
      </w:r>
    </w:p>
    <w:p>
      <w:pPr>
        <w:widowControl w:val="0"/>
        <w:shd w:val="clear" w:color="auto" w:fill="auto"/>
        <w:tabs>
          <w:tab w:val="left" w:pos="7740"/>
          <w:tab w:val="clear" w:pos="426"/>
        </w:tabs>
        <w:adjustRightInd/>
        <w:snapToGrid/>
        <w:spacing w:line="240" w:lineRule="auto"/>
        <w:rPr>
          <w:rFonts w:cs="Times New Roman"/>
          <w:kern w:val="2"/>
          <w:szCs w:val="21"/>
          <w:u w:val="single"/>
        </w:rPr>
      </w:pPr>
      <w:r>
        <w:rPr>
          <w:rFonts w:hint="eastAsia" w:cs="Times New Roman"/>
          <w:kern w:val="2"/>
          <w:szCs w:val="21"/>
          <w:u w:val="single"/>
        </w:rPr>
        <w:t xml:space="preserve">（甲方全称） </w:t>
      </w:r>
      <w:r>
        <w:rPr>
          <w:rFonts w:cs="Times New Roman"/>
          <w:kern w:val="2"/>
          <w:szCs w:val="21"/>
          <w:u w:val="single"/>
        </w:rPr>
        <w:t xml:space="preserve">          </w:t>
      </w:r>
    </w:p>
    <w:p>
      <w:pPr>
        <w:widowControl w:val="0"/>
        <w:shd w:val="clear" w:color="auto" w:fill="auto"/>
        <w:tabs>
          <w:tab w:val="left" w:pos="7740"/>
          <w:tab w:val="clear" w:pos="426"/>
        </w:tabs>
        <w:adjustRightInd/>
        <w:snapToGrid/>
        <w:spacing w:line="240" w:lineRule="auto"/>
        <w:rPr>
          <w:rFonts w:cs="Times New Roman"/>
          <w:kern w:val="2"/>
          <w:szCs w:val="21"/>
          <w:u w:val="single"/>
        </w:rPr>
      </w:pPr>
      <w:r>
        <w:rPr>
          <w:rFonts w:hint="eastAsia" w:cs="Times New Roman"/>
          <w:kern w:val="2"/>
          <w:szCs w:val="21"/>
          <w:u w:val="single"/>
        </w:rPr>
        <w:t xml:space="preserve">（乙方全称） </w:t>
      </w:r>
      <w:r>
        <w:rPr>
          <w:rFonts w:cs="Times New Roman"/>
          <w:kern w:val="2"/>
          <w:szCs w:val="21"/>
          <w:u w:val="single"/>
        </w:rPr>
        <w:t xml:space="preserve">          </w:t>
      </w:r>
    </w:p>
    <w:p>
      <w:pPr>
        <w:widowControl w:val="0"/>
        <w:shd w:val="clear" w:color="auto" w:fill="auto"/>
        <w:tabs>
          <w:tab w:val="left" w:pos="7740"/>
          <w:tab w:val="clear" w:pos="426"/>
        </w:tabs>
        <w:adjustRightInd/>
        <w:snapToGrid/>
        <w:spacing w:line="240" w:lineRule="auto"/>
        <w:rPr>
          <w:rFonts w:cs="Times New Roman"/>
          <w:kern w:val="2"/>
          <w:szCs w:val="21"/>
          <w:u w:val="single"/>
        </w:rPr>
      </w:pPr>
      <w:r>
        <w:rPr>
          <w:rFonts w:hint="eastAsia" w:cs="Times New Roman"/>
          <w:kern w:val="2"/>
          <w:szCs w:val="21"/>
          <w:u w:val="single"/>
        </w:rPr>
        <w:t xml:space="preserve">（丙方全称） </w:t>
      </w:r>
      <w:r>
        <w:rPr>
          <w:rFonts w:cs="Times New Roman"/>
          <w:kern w:val="2"/>
          <w:szCs w:val="21"/>
          <w:u w:val="single"/>
        </w:rPr>
        <w:t xml:space="preserve">          </w:t>
      </w:r>
    </w:p>
    <w:p>
      <w:pPr>
        <w:widowControl w:val="0"/>
        <w:shd w:val="clear" w:color="auto" w:fill="auto"/>
        <w:tabs>
          <w:tab w:val="left" w:pos="7740"/>
          <w:tab w:val="clear" w:pos="426"/>
        </w:tabs>
        <w:adjustRightInd/>
        <w:snapToGrid/>
        <w:spacing w:line="240" w:lineRule="auto"/>
        <w:rPr>
          <w:rFonts w:cs="Times New Roman"/>
          <w:kern w:val="2"/>
          <w:szCs w:val="21"/>
          <w:u w:val="single"/>
        </w:rPr>
      </w:pPr>
      <w:r>
        <w:rPr>
          <w:rFonts w:cs="Times New Roman"/>
          <w:kern w:val="2"/>
          <w:szCs w:val="21"/>
          <w:u w:val="single"/>
        </w:rPr>
        <w:t xml:space="preserve"> (……)</w:t>
      </w:r>
      <w:r>
        <w:rPr>
          <w:rFonts w:hint="eastAsia" w:cs="Times New Roman"/>
          <w:kern w:val="2"/>
          <w:szCs w:val="21"/>
          <w:u w:val="single"/>
        </w:rPr>
        <w:t xml:space="preserve"> </w:t>
      </w:r>
      <w:r>
        <w:rPr>
          <w:rFonts w:cs="Times New Roman"/>
          <w:kern w:val="2"/>
          <w:szCs w:val="21"/>
          <w:u w:val="single"/>
        </w:rPr>
        <w:t xml:space="preserve">               </w:t>
      </w:r>
    </w:p>
    <w:p>
      <w:pPr>
        <w:widowControl w:val="0"/>
        <w:shd w:val="clear" w:color="auto" w:fill="auto"/>
        <w:tabs>
          <w:tab w:val="left" w:pos="7740"/>
          <w:tab w:val="clear" w:pos="426"/>
        </w:tabs>
        <w:adjustRightInd/>
        <w:spacing w:line="240" w:lineRule="auto"/>
        <w:jc w:val="left"/>
        <w:rPr>
          <w:rFonts w:cs="Times New Roman"/>
          <w:kern w:val="2"/>
          <w:szCs w:val="21"/>
        </w:rPr>
      </w:pPr>
    </w:p>
    <w:p>
      <w:pPr>
        <w:widowControl w:val="0"/>
        <w:shd w:val="clear" w:color="auto" w:fill="auto"/>
        <w:tabs>
          <w:tab w:val="left" w:pos="7740"/>
          <w:tab w:val="clear" w:pos="426"/>
        </w:tabs>
        <w:adjustRightInd/>
        <w:spacing w:line="240" w:lineRule="auto"/>
        <w:ind w:firstLine="420" w:firstLineChars="200"/>
        <w:jc w:val="left"/>
        <w:rPr>
          <w:rFonts w:cs="Times New Roman"/>
          <w:kern w:val="2"/>
          <w:szCs w:val="21"/>
        </w:rPr>
      </w:pPr>
      <w:r>
        <w:rPr>
          <w:rFonts w:hint="eastAsia" w:cs="Times New Roman"/>
          <w:i/>
          <w:kern w:val="2"/>
          <w:szCs w:val="21"/>
          <w:u w:val="single"/>
        </w:rPr>
        <w:t xml:space="preserve">（甲方全称）  </w:t>
      </w:r>
      <w:r>
        <w:rPr>
          <w:rFonts w:cs="Times New Roman"/>
          <w:i/>
          <w:kern w:val="2"/>
          <w:szCs w:val="21"/>
          <w:u w:val="single"/>
        </w:rPr>
        <w:t xml:space="preserve">  </w:t>
      </w:r>
      <w:r>
        <w:rPr>
          <w:rFonts w:hint="eastAsia" w:cs="Times New Roman"/>
          <w:kern w:val="2"/>
          <w:szCs w:val="21"/>
        </w:rPr>
        <w:t>为</w:t>
      </w:r>
      <w:r>
        <w:rPr>
          <w:rFonts w:cs="Times New Roman"/>
          <w:kern w:val="2"/>
          <w:szCs w:val="21"/>
        </w:rPr>
        <w:t>投标方（</w:t>
      </w:r>
      <w:r>
        <w:rPr>
          <w:rFonts w:hint="eastAsia" w:cs="Times New Roman"/>
          <w:kern w:val="2"/>
          <w:szCs w:val="21"/>
        </w:rPr>
        <w:t>分包方</w:t>
      </w:r>
      <w:r>
        <w:rPr>
          <w:rFonts w:cs="Times New Roman"/>
          <w:kern w:val="2"/>
          <w:szCs w:val="21"/>
        </w:rPr>
        <w:t>），</w:t>
      </w:r>
      <w:r>
        <w:rPr>
          <w:rFonts w:hint="eastAsia" w:cs="Times New Roman"/>
          <w:kern w:val="2"/>
          <w:szCs w:val="21"/>
        </w:rPr>
        <w:t>就项目编号为:</w:t>
      </w:r>
      <w:r>
        <w:rPr>
          <w:rFonts w:cs="Times New Roman"/>
          <w:i/>
          <w:kern w:val="2"/>
          <w:szCs w:val="21"/>
          <w:u w:val="single"/>
        </w:rPr>
        <w:t xml:space="preserve">        </w:t>
      </w:r>
      <w:r>
        <w:rPr>
          <w:rFonts w:cs="Times New Roman"/>
          <w:kern w:val="2"/>
          <w:szCs w:val="21"/>
        </w:rPr>
        <w:t>项目名称为</w:t>
      </w:r>
      <w:r>
        <w:rPr>
          <w:rFonts w:hint="eastAsia" w:cs="Times New Roman"/>
          <w:kern w:val="2"/>
          <w:szCs w:val="21"/>
        </w:rPr>
        <w:t>:</w:t>
      </w:r>
      <w:r>
        <w:rPr>
          <w:rFonts w:cs="Times New Roman"/>
          <w:i/>
          <w:kern w:val="2"/>
          <w:szCs w:val="21"/>
          <w:u w:val="single"/>
        </w:rPr>
        <w:t xml:space="preserve">           </w:t>
      </w:r>
      <w:r>
        <w:rPr>
          <w:rFonts w:hint="eastAsia" w:cs="Times New Roman"/>
          <w:kern w:val="2"/>
          <w:szCs w:val="21"/>
        </w:rPr>
        <w:t>的项目投标事宜，与</w:t>
      </w:r>
      <w:r>
        <w:rPr>
          <w:rFonts w:hint="eastAsia" w:cs="Times New Roman"/>
          <w:i/>
          <w:kern w:val="2"/>
          <w:szCs w:val="21"/>
          <w:u w:val="single"/>
        </w:rPr>
        <w:t xml:space="preserve"> </w:t>
      </w:r>
      <w:r>
        <w:rPr>
          <w:rFonts w:cs="Times New Roman"/>
          <w:i/>
          <w:kern w:val="2"/>
          <w:szCs w:val="21"/>
          <w:u w:val="single"/>
        </w:rPr>
        <w:t xml:space="preserve">    </w:t>
      </w:r>
      <w:r>
        <w:rPr>
          <w:rFonts w:hint="eastAsia" w:cs="Times New Roman"/>
          <w:i/>
          <w:kern w:val="2"/>
          <w:szCs w:val="21"/>
          <w:u w:val="single"/>
        </w:rPr>
        <w:t>（乙方全称）</w:t>
      </w:r>
      <w:r>
        <w:rPr>
          <w:rFonts w:hint="eastAsia" w:cs="Times New Roman"/>
          <w:i/>
          <w:kern w:val="2"/>
          <w:szCs w:val="21"/>
        </w:rPr>
        <w:t>、</w:t>
      </w:r>
      <w:r>
        <w:rPr>
          <w:rFonts w:hint="eastAsia" w:cs="Times New Roman"/>
          <w:i/>
          <w:kern w:val="2"/>
          <w:szCs w:val="21"/>
          <w:u w:val="single"/>
        </w:rPr>
        <w:t xml:space="preserve"> </w:t>
      </w:r>
      <w:r>
        <w:rPr>
          <w:rFonts w:cs="Times New Roman"/>
          <w:i/>
          <w:kern w:val="2"/>
          <w:szCs w:val="21"/>
          <w:u w:val="single"/>
        </w:rPr>
        <w:t xml:space="preserve">  </w:t>
      </w:r>
      <w:r>
        <w:rPr>
          <w:rFonts w:hint="eastAsia" w:cs="Times New Roman"/>
          <w:i/>
          <w:kern w:val="2"/>
          <w:szCs w:val="21"/>
          <w:u w:val="single"/>
        </w:rPr>
        <w:t>（丙方全称）</w:t>
      </w:r>
      <w:r>
        <w:rPr>
          <w:rFonts w:hint="eastAsia" w:cs="Times New Roman"/>
          <w:i/>
          <w:kern w:val="2"/>
          <w:szCs w:val="21"/>
        </w:rPr>
        <w:t>、</w:t>
      </w:r>
      <w:r>
        <w:rPr>
          <w:rFonts w:hint="eastAsia" w:cs="Times New Roman"/>
          <w:i/>
          <w:kern w:val="2"/>
          <w:szCs w:val="21"/>
          <w:u w:val="single"/>
        </w:rPr>
        <w:t xml:space="preserve"> </w:t>
      </w:r>
      <w:r>
        <w:rPr>
          <w:rFonts w:cs="Times New Roman"/>
          <w:i/>
          <w:kern w:val="2"/>
          <w:szCs w:val="21"/>
          <w:u w:val="single"/>
        </w:rPr>
        <w:t xml:space="preserve">  </w:t>
      </w:r>
      <w:r>
        <w:rPr>
          <w:rFonts w:hint="eastAsia" w:cs="Times New Roman"/>
          <w:i/>
          <w:kern w:val="2"/>
          <w:szCs w:val="21"/>
          <w:u w:val="single"/>
        </w:rPr>
        <w:t>（</w:t>
      </w:r>
      <w:r>
        <w:rPr>
          <w:rFonts w:cs="Times New Roman"/>
          <w:i/>
          <w:kern w:val="2"/>
          <w:szCs w:val="21"/>
          <w:u w:val="single"/>
        </w:rPr>
        <w:t>…</w:t>
      </w:r>
      <w:r>
        <w:rPr>
          <w:rFonts w:hint="eastAsia" w:cs="Times New Roman"/>
          <w:i/>
          <w:kern w:val="2"/>
          <w:szCs w:val="21"/>
          <w:u w:val="single"/>
        </w:rPr>
        <w:t>）</w:t>
      </w:r>
      <w:r>
        <w:rPr>
          <w:rFonts w:hint="eastAsia" w:cs="Times New Roman"/>
          <w:kern w:val="2"/>
          <w:szCs w:val="21"/>
        </w:rPr>
        <w:t>通过友好协商达成以下协议：</w:t>
      </w:r>
    </w:p>
    <w:p>
      <w:pPr>
        <w:widowControl w:val="0"/>
        <w:shd w:val="clear" w:color="auto" w:fill="auto"/>
        <w:tabs>
          <w:tab w:val="left" w:pos="7740"/>
          <w:tab w:val="clear" w:pos="426"/>
        </w:tabs>
        <w:adjustRightInd/>
        <w:spacing w:line="240" w:lineRule="auto"/>
        <w:ind w:firstLine="420" w:firstLineChars="200"/>
        <w:jc w:val="left"/>
        <w:rPr>
          <w:rFonts w:cs="Times New Roman"/>
          <w:kern w:val="2"/>
          <w:szCs w:val="21"/>
        </w:rPr>
      </w:pPr>
      <w:r>
        <w:rPr>
          <w:rFonts w:hint="eastAsia" w:cs="Times New Roman"/>
          <w:bCs/>
          <w:kern w:val="2"/>
          <w:szCs w:val="21"/>
        </w:rPr>
        <w:t>一、在本次投标有效期内，</w:t>
      </w:r>
      <w:r>
        <w:rPr>
          <w:rFonts w:hint="eastAsia" w:cs="Times New Roman"/>
          <w:i/>
          <w:kern w:val="2"/>
          <w:szCs w:val="21"/>
          <w:u w:val="single"/>
        </w:rPr>
        <w:t xml:space="preserve"> </w:t>
      </w:r>
      <w:r>
        <w:rPr>
          <w:rFonts w:cs="Times New Roman"/>
          <w:i/>
          <w:kern w:val="2"/>
          <w:szCs w:val="21"/>
          <w:u w:val="single"/>
        </w:rPr>
        <w:t xml:space="preserve">    </w:t>
      </w:r>
      <w:r>
        <w:rPr>
          <w:rFonts w:hint="eastAsia" w:cs="Times New Roman"/>
          <w:i/>
          <w:kern w:val="2"/>
          <w:szCs w:val="21"/>
          <w:u w:val="single"/>
        </w:rPr>
        <w:t>（乙方全称）</w:t>
      </w:r>
      <w:r>
        <w:rPr>
          <w:rFonts w:hint="eastAsia" w:cs="Times New Roman"/>
          <w:i/>
          <w:kern w:val="2"/>
          <w:szCs w:val="21"/>
        </w:rPr>
        <w:t>、</w:t>
      </w:r>
      <w:r>
        <w:rPr>
          <w:rFonts w:hint="eastAsia" w:cs="Times New Roman"/>
          <w:i/>
          <w:kern w:val="2"/>
          <w:szCs w:val="21"/>
          <w:u w:val="single"/>
        </w:rPr>
        <w:t xml:space="preserve"> </w:t>
      </w:r>
      <w:r>
        <w:rPr>
          <w:rFonts w:cs="Times New Roman"/>
          <w:i/>
          <w:kern w:val="2"/>
          <w:szCs w:val="21"/>
          <w:u w:val="single"/>
        </w:rPr>
        <w:t xml:space="preserve">  </w:t>
      </w:r>
      <w:r>
        <w:rPr>
          <w:rFonts w:hint="eastAsia" w:cs="Times New Roman"/>
          <w:i/>
          <w:kern w:val="2"/>
          <w:szCs w:val="21"/>
          <w:u w:val="single"/>
        </w:rPr>
        <w:t>（丙方全称）</w:t>
      </w:r>
      <w:r>
        <w:rPr>
          <w:rFonts w:hint="eastAsia" w:cs="Times New Roman"/>
          <w:i/>
          <w:kern w:val="2"/>
          <w:szCs w:val="21"/>
        </w:rPr>
        <w:t>、</w:t>
      </w:r>
      <w:r>
        <w:rPr>
          <w:rFonts w:hint="eastAsia" w:cs="Times New Roman"/>
          <w:i/>
          <w:kern w:val="2"/>
          <w:szCs w:val="21"/>
          <w:u w:val="single"/>
        </w:rPr>
        <w:t xml:space="preserve"> </w:t>
      </w:r>
      <w:r>
        <w:rPr>
          <w:rFonts w:cs="Times New Roman"/>
          <w:i/>
          <w:kern w:val="2"/>
          <w:szCs w:val="21"/>
          <w:u w:val="single"/>
        </w:rPr>
        <w:t xml:space="preserve">  </w:t>
      </w:r>
      <w:r>
        <w:rPr>
          <w:rFonts w:hint="eastAsia" w:cs="Times New Roman"/>
          <w:i/>
          <w:kern w:val="2"/>
          <w:szCs w:val="21"/>
          <w:u w:val="single"/>
        </w:rPr>
        <w:t>（</w:t>
      </w:r>
      <w:r>
        <w:rPr>
          <w:rFonts w:cs="Times New Roman"/>
          <w:i/>
          <w:kern w:val="2"/>
          <w:szCs w:val="21"/>
          <w:u w:val="single"/>
        </w:rPr>
        <w:t>…</w:t>
      </w:r>
      <w:r>
        <w:rPr>
          <w:rFonts w:hint="eastAsia" w:cs="Times New Roman"/>
          <w:i/>
          <w:kern w:val="2"/>
          <w:szCs w:val="21"/>
          <w:u w:val="single"/>
        </w:rPr>
        <w:t>）</w:t>
      </w:r>
      <w:r>
        <w:rPr>
          <w:rFonts w:hint="eastAsia" w:cs="Times New Roman"/>
          <w:kern w:val="2"/>
          <w:szCs w:val="21"/>
        </w:rPr>
        <w:t>同意</w:t>
      </w:r>
      <w:r>
        <w:rPr>
          <w:rFonts w:hint="eastAsia" w:cs="Times New Roman"/>
          <w:i/>
          <w:kern w:val="2"/>
          <w:szCs w:val="21"/>
          <w:u w:val="single"/>
        </w:rPr>
        <w:t xml:space="preserve">（甲方全称）  </w:t>
      </w:r>
      <w:r>
        <w:rPr>
          <w:rFonts w:cs="Times New Roman"/>
          <w:i/>
          <w:kern w:val="2"/>
          <w:szCs w:val="21"/>
          <w:u w:val="single"/>
        </w:rPr>
        <w:t xml:space="preserve">   </w:t>
      </w:r>
      <w:r>
        <w:rPr>
          <w:rFonts w:cs="Times New Roman"/>
          <w:kern w:val="2"/>
          <w:szCs w:val="21"/>
        </w:rPr>
        <w:t>参加</w:t>
      </w:r>
      <w:r>
        <w:rPr>
          <w:rFonts w:hint="eastAsia" w:cs="Times New Roman"/>
          <w:kern w:val="2"/>
          <w:szCs w:val="21"/>
        </w:rPr>
        <w:t>上述项目投标事宜。若中标，各方按照本协议中约定的分工事项，完成各方对应的工作。</w:t>
      </w:r>
    </w:p>
    <w:p>
      <w:pPr>
        <w:widowControl w:val="0"/>
        <w:shd w:val="clear" w:color="auto" w:fill="auto"/>
        <w:tabs>
          <w:tab w:val="left" w:pos="7740"/>
          <w:tab w:val="clear" w:pos="426"/>
        </w:tabs>
        <w:adjustRightInd/>
        <w:spacing w:line="240" w:lineRule="auto"/>
        <w:ind w:firstLine="420" w:firstLineChars="200"/>
        <w:jc w:val="left"/>
        <w:rPr>
          <w:rFonts w:cs="Times New Roman"/>
          <w:bCs/>
          <w:kern w:val="2"/>
          <w:szCs w:val="21"/>
        </w:rPr>
      </w:pPr>
      <w:r>
        <w:rPr>
          <w:rFonts w:hint="eastAsia" w:cs="Times New Roman"/>
          <w:bCs/>
          <w:kern w:val="2"/>
          <w:szCs w:val="21"/>
        </w:rPr>
        <w:t>二、各方分工：</w:t>
      </w:r>
    </w:p>
    <w:p>
      <w:pPr>
        <w:widowControl w:val="0"/>
        <w:numPr>
          <w:ilvl w:val="0"/>
          <w:numId w:val="8"/>
        </w:numPr>
        <w:shd w:val="clear" w:color="auto" w:fill="auto"/>
        <w:tabs>
          <w:tab w:val="clear" w:pos="426"/>
        </w:tabs>
        <w:adjustRightInd/>
        <w:snapToGrid/>
        <w:spacing w:line="240" w:lineRule="auto"/>
        <w:jc w:val="left"/>
        <w:rPr>
          <w:rFonts w:cs="Times New Roman"/>
          <w:kern w:val="2"/>
          <w:szCs w:val="21"/>
        </w:rPr>
      </w:pPr>
      <w:r>
        <w:rPr>
          <w:rFonts w:hint="eastAsia" w:cs="Times New Roman"/>
          <w:kern w:val="2"/>
          <w:szCs w:val="21"/>
        </w:rPr>
        <w:t>本项目投标工作由</w:t>
      </w:r>
      <w:r>
        <w:rPr>
          <w:rFonts w:hint="eastAsia" w:cs="Times New Roman"/>
          <w:i/>
          <w:kern w:val="2"/>
          <w:szCs w:val="21"/>
          <w:u w:val="single"/>
        </w:rPr>
        <w:t xml:space="preserve">（甲方全称） </w:t>
      </w:r>
      <w:r>
        <w:rPr>
          <w:rFonts w:cs="Times New Roman"/>
          <w:i/>
          <w:kern w:val="2"/>
          <w:szCs w:val="21"/>
          <w:u w:val="single"/>
        </w:rPr>
        <w:t xml:space="preserve">     </w:t>
      </w:r>
      <w:r>
        <w:rPr>
          <w:rFonts w:hint="eastAsia" w:cs="Times New Roman"/>
          <w:i/>
          <w:kern w:val="2"/>
          <w:szCs w:val="21"/>
          <w:u w:val="single"/>
        </w:rPr>
        <w:t xml:space="preserve"> </w:t>
      </w:r>
      <w:r>
        <w:rPr>
          <w:rFonts w:cs="Times New Roman"/>
          <w:i/>
          <w:kern w:val="2"/>
          <w:szCs w:val="21"/>
          <w:u w:val="single"/>
        </w:rPr>
        <w:t xml:space="preserve">   </w:t>
      </w:r>
      <w:r>
        <w:rPr>
          <w:rFonts w:hint="eastAsia" w:cs="Times New Roman"/>
          <w:kern w:val="2"/>
          <w:szCs w:val="21"/>
        </w:rPr>
        <w:t>负责。</w:t>
      </w:r>
    </w:p>
    <w:p>
      <w:pPr>
        <w:widowControl w:val="0"/>
        <w:numPr>
          <w:ilvl w:val="0"/>
          <w:numId w:val="8"/>
        </w:numPr>
        <w:shd w:val="clear" w:color="auto" w:fill="auto"/>
        <w:tabs>
          <w:tab w:val="clear" w:pos="426"/>
        </w:tabs>
        <w:adjustRightInd/>
        <w:snapToGrid/>
        <w:spacing w:line="240" w:lineRule="auto"/>
        <w:jc w:val="left"/>
        <w:rPr>
          <w:rFonts w:cs="Times New Roman"/>
          <w:kern w:val="2"/>
          <w:szCs w:val="21"/>
        </w:rPr>
      </w:pPr>
      <w:r>
        <w:rPr>
          <w:rFonts w:hint="eastAsia" w:cs="Times New Roman"/>
          <w:kern w:val="2"/>
          <w:szCs w:val="21"/>
        </w:rPr>
        <w:t>本项目由</w:t>
      </w:r>
      <w:r>
        <w:rPr>
          <w:rFonts w:hint="eastAsia" w:cs="Times New Roman"/>
          <w:i/>
          <w:kern w:val="2"/>
          <w:szCs w:val="21"/>
          <w:u w:val="single"/>
        </w:rPr>
        <w:t xml:space="preserve">（甲方全称） </w:t>
      </w:r>
      <w:r>
        <w:rPr>
          <w:rFonts w:cs="Times New Roman"/>
          <w:i/>
          <w:kern w:val="2"/>
          <w:szCs w:val="21"/>
          <w:u w:val="single"/>
        </w:rPr>
        <w:t xml:space="preserve">  </w:t>
      </w:r>
      <w:r>
        <w:rPr>
          <w:rFonts w:hint="eastAsia" w:cs="Times New Roman"/>
          <w:i/>
          <w:kern w:val="2"/>
          <w:szCs w:val="21"/>
          <w:u w:val="single"/>
        </w:rPr>
        <w:t xml:space="preserve"> </w:t>
      </w:r>
      <w:r>
        <w:rPr>
          <w:rFonts w:cs="Times New Roman"/>
          <w:i/>
          <w:kern w:val="2"/>
          <w:szCs w:val="21"/>
          <w:u w:val="single"/>
        </w:rPr>
        <w:t xml:space="preserve">  </w:t>
      </w:r>
      <w:r>
        <w:rPr>
          <w:rFonts w:hint="eastAsia" w:cs="Times New Roman"/>
          <w:kern w:val="2"/>
          <w:szCs w:val="21"/>
        </w:rPr>
        <w:t>授权人员负责与采购人联系。</w:t>
      </w:r>
    </w:p>
    <w:p>
      <w:pPr>
        <w:widowControl w:val="0"/>
        <w:numPr>
          <w:ilvl w:val="0"/>
          <w:numId w:val="8"/>
        </w:numPr>
        <w:shd w:val="clear" w:color="auto" w:fill="auto"/>
        <w:tabs>
          <w:tab w:val="clear" w:pos="426"/>
        </w:tabs>
        <w:adjustRightInd/>
        <w:snapToGrid/>
        <w:spacing w:line="240" w:lineRule="auto"/>
        <w:jc w:val="left"/>
        <w:rPr>
          <w:rFonts w:cs="Times New Roman"/>
          <w:kern w:val="2"/>
          <w:szCs w:val="21"/>
        </w:rPr>
      </w:pPr>
      <w:r>
        <w:rPr>
          <w:rFonts w:hint="eastAsia" w:cs="Times New Roman"/>
          <w:i/>
          <w:kern w:val="2"/>
          <w:szCs w:val="21"/>
          <w:u w:val="single"/>
        </w:rPr>
        <w:t xml:space="preserve">（甲方全称） </w:t>
      </w:r>
      <w:r>
        <w:rPr>
          <w:rFonts w:cs="Times New Roman"/>
          <w:i/>
          <w:kern w:val="2"/>
          <w:szCs w:val="21"/>
          <w:u w:val="single"/>
        </w:rPr>
        <w:t xml:space="preserve">    </w:t>
      </w:r>
      <w:r>
        <w:rPr>
          <w:rFonts w:hint="eastAsia" w:cs="Times New Roman"/>
          <w:kern w:val="2"/>
          <w:szCs w:val="21"/>
        </w:rPr>
        <w:t>为分包方，属于</w:t>
      </w:r>
      <w:r>
        <w:rPr>
          <w:rFonts w:hint="eastAsia" w:cs="Times New Roman"/>
          <w:i/>
          <w:kern w:val="2"/>
          <w:szCs w:val="21"/>
          <w:u w:val="single"/>
        </w:rPr>
        <w:t xml:space="preserve"> </w:t>
      </w:r>
      <w:r>
        <w:rPr>
          <w:rFonts w:cs="Times New Roman"/>
          <w:i/>
          <w:kern w:val="2"/>
          <w:szCs w:val="21"/>
          <w:u w:val="single"/>
        </w:rPr>
        <w:t xml:space="preserve">    </w:t>
      </w:r>
      <w:r>
        <w:rPr>
          <w:rFonts w:hint="eastAsia" w:cs="Times New Roman"/>
          <w:i/>
          <w:kern w:val="2"/>
          <w:szCs w:val="21"/>
          <w:u w:val="single"/>
        </w:rPr>
        <w:t>（中型企业、小型企业、微型企业）</w:t>
      </w:r>
      <w:r>
        <w:rPr>
          <w:rFonts w:hint="eastAsia" w:cs="Times New Roman"/>
          <w:kern w:val="2"/>
          <w:szCs w:val="21"/>
        </w:rPr>
        <w:t>，拟承担的工作为:</w:t>
      </w:r>
      <w:r>
        <w:rPr>
          <w:rFonts w:hint="eastAsia" w:cs="Times New Roman"/>
          <w:i/>
          <w:kern w:val="2"/>
          <w:szCs w:val="21"/>
        </w:rPr>
        <w:t xml:space="preserve"> </w:t>
      </w:r>
      <w:r>
        <w:rPr>
          <w:rFonts w:hint="eastAsia" w:cs="Times New Roman"/>
          <w:i/>
          <w:kern w:val="2"/>
          <w:szCs w:val="21"/>
          <w:u w:val="single"/>
        </w:rPr>
        <w:t xml:space="preserve">              </w:t>
      </w:r>
      <w:r>
        <w:rPr>
          <w:rFonts w:hint="eastAsia" w:cs="Times New Roman"/>
          <w:kern w:val="2"/>
          <w:szCs w:val="21"/>
        </w:rPr>
        <w:t>。</w:t>
      </w:r>
    </w:p>
    <w:p>
      <w:pPr>
        <w:widowControl w:val="0"/>
        <w:numPr>
          <w:ilvl w:val="0"/>
          <w:numId w:val="8"/>
        </w:numPr>
        <w:shd w:val="clear" w:color="auto" w:fill="auto"/>
        <w:tabs>
          <w:tab w:val="clear" w:pos="426"/>
        </w:tabs>
        <w:adjustRightInd/>
        <w:snapToGrid/>
        <w:spacing w:line="240" w:lineRule="auto"/>
        <w:jc w:val="left"/>
        <w:rPr>
          <w:rFonts w:cs="Times New Roman"/>
          <w:kern w:val="2"/>
          <w:szCs w:val="21"/>
        </w:rPr>
      </w:pPr>
      <w:r>
        <w:rPr>
          <w:rFonts w:hint="eastAsia" w:cs="Times New Roman"/>
          <w:i/>
          <w:kern w:val="2"/>
          <w:szCs w:val="21"/>
          <w:u w:val="single"/>
        </w:rPr>
        <w:t xml:space="preserve">（乙方全称） </w:t>
      </w:r>
      <w:r>
        <w:rPr>
          <w:rFonts w:cs="Times New Roman"/>
          <w:i/>
          <w:kern w:val="2"/>
          <w:szCs w:val="21"/>
          <w:u w:val="single"/>
        </w:rPr>
        <w:t xml:space="preserve">    </w:t>
      </w:r>
      <w:r>
        <w:rPr>
          <w:rFonts w:hint="eastAsia" w:cs="Times New Roman"/>
          <w:kern w:val="2"/>
          <w:szCs w:val="21"/>
        </w:rPr>
        <w:t>为接受分包合同的分包承担方，属于</w:t>
      </w:r>
      <w:r>
        <w:rPr>
          <w:rFonts w:hint="eastAsia" w:cs="Times New Roman"/>
          <w:i/>
          <w:kern w:val="2"/>
          <w:szCs w:val="21"/>
          <w:u w:val="single"/>
        </w:rPr>
        <w:t xml:space="preserve"> </w:t>
      </w:r>
      <w:r>
        <w:rPr>
          <w:rFonts w:cs="Times New Roman"/>
          <w:i/>
          <w:kern w:val="2"/>
          <w:szCs w:val="21"/>
          <w:u w:val="single"/>
        </w:rPr>
        <w:t xml:space="preserve">    </w:t>
      </w:r>
      <w:r>
        <w:rPr>
          <w:rFonts w:hint="eastAsia" w:cs="Times New Roman"/>
          <w:i/>
          <w:kern w:val="2"/>
          <w:szCs w:val="21"/>
          <w:u w:val="single"/>
        </w:rPr>
        <w:t>（中型企业、小型企业、微型企业）</w:t>
      </w:r>
      <w:r>
        <w:rPr>
          <w:rFonts w:hint="eastAsia" w:cs="Times New Roman"/>
          <w:i/>
          <w:kern w:val="2"/>
          <w:szCs w:val="21"/>
        </w:rPr>
        <w:t>，</w:t>
      </w:r>
      <w:r>
        <w:rPr>
          <w:rFonts w:hint="eastAsia" w:cs="Times New Roman"/>
          <w:kern w:val="2"/>
          <w:szCs w:val="21"/>
        </w:rPr>
        <w:t xml:space="preserve">拟承担的工作为: </w:t>
      </w:r>
      <w:r>
        <w:rPr>
          <w:rFonts w:hint="eastAsia" w:cs="Times New Roman"/>
          <w:i/>
          <w:kern w:val="2"/>
          <w:szCs w:val="21"/>
          <w:u w:val="single"/>
        </w:rPr>
        <w:t xml:space="preserve">              </w:t>
      </w:r>
      <w:r>
        <w:rPr>
          <w:rFonts w:hint="eastAsia" w:cs="Times New Roman"/>
          <w:kern w:val="2"/>
          <w:szCs w:val="21"/>
        </w:rPr>
        <w:t>，其分包合同金额所占合同总金额比例为</w:t>
      </w:r>
      <w:r>
        <w:rPr>
          <w:rFonts w:hint="eastAsia" w:cs="Times New Roman"/>
          <w:i/>
          <w:kern w:val="2"/>
          <w:szCs w:val="21"/>
          <w:u w:val="single"/>
        </w:rPr>
        <w:t xml:space="preserve"> </w:t>
      </w:r>
      <w:r>
        <w:rPr>
          <w:rFonts w:cs="Times New Roman"/>
          <w:i/>
          <w:kern w:val="2"/>
          <w:szCs w:val="21"/>
          <w:u w:val="single"/>
        </w:rPr>
        <w:t xml:space="preserve">      </w:t>
      </w:r>
      <w:r>
        <w:rPr>
          <w:rFonts w:hint="eastAsia" w:cs="Times New Roman"/>
          <w:kern w:val="2"/>
          <w:szCs w:val="21"/>
        </w:rPr>
        <w:t>。</w:t>
      </w:r>
    </w:p>
    <w:p>
      <w:pPr>
        <w:widowControl w:val="0"/>
        <w:numPr>
          <w:ilvl w:val="0"/>
          <w:numId w:val="8"/>
        </w:numPr>
        <w:shd w:val="clear" w:color="auto" w:fill="auto"/>
        <w:tabs>
          <w:tab w:val="clear" w:pos="426"/>
        </w:tabs>
        <w:adjustRightInd/>
        <w:snapToGrid/>
        <w:spacing w:line="240" w:lineRule="auto"/>
        <w:jc w:val="left"/>
        <w:rPr>
          <w:rFonts w:cs="Times New Roman"/>
          <w:kern w:val="2"/>
          <w:szCs w:val="21"/>
        </w:rPr>
      </w:pPr>
      <w:r>
        <w:rPr>
          <w:rFonts w:hint="eastAsia" w:cs="Times New Roman"/>
          <w:i/>
          <w:kern w:val="2"/>
          <w:szCs w:val="21"/>
          <w:u w:val="single"/>
        </w:rPr>
        <w:t xml:space="preserve">（丙方全称） </w:t>
      </w:r>
      <w:r>
        <w:rPr>
          <w:rFonts w:cs="Times New Roman"/>
          <w:i/>
          <w:kern w:val="2"/>
          <w:szCs w:val="21"/>
          <w:u w:val="single"/>
        </w:rPr>
        <w:t xml:space="preserve">    </w:t>
      </w:r>
      <w:r>
        <w:rPr>
          <w:rFonts w:hint="eastAsia" w:cs="Times New Roman"/>
          <w:kern w:val="2"/>
          <w:szCs w:val="21"/>
        </w:rPr>
        <w:t>为接受分包合同的分包承担方，属于</w:t>
      </w:r>
      <w:r>
        <w:rPr>
          <w:rFonts w:hint="eastAsia" w:cs="Times New Roman"/>
          <w:i/>
          <w:kern w:val="2"/>
          <w:szCs w:val="21"/>
          <w:u w:val="single"/>
        </w:rPr>
        <w:t xml:space="preserve"> </w:t>
      </w:r>
      <w:r>
        <w:rPr>
          <w:rFonts w:cs="Times New Roman"/>
          <w:i/>
          <w:kern w:val="2"/>
          <w:szCs w:val="21"/>
          <w:u w:val="single"/>
        </w:rPr>
        <w:t xml:space="preserve">    </w:t>
      </w:r>
      <w:r>
        <w:rPr>
          <w:rFonts w:hint="eastAsia" w:cs="Times New Roman"/>
          <w:i/>
          <w:kern w:val="2"/>
          <w:szCs w:val="21"/>
          <w:u w:val="single"/>
        </w:rPr>
        <w:t>（中型企业、小型企业、微型企业）</w:t>
      </w:r>
      <w:r>
        <w:rPr>
          <w:rFonts w:hint="eastAsia" w:cs="Times New Roman"/>
          <w:i/>
          <w:kern w:val="2"/>
          <w:szCs w:val="21"/>
        </w:rPr>
        <w:t>，</w:t>
      </w:r>
      <w:r>
        <w:rPr>
          <w:rFonts w:hint="eastAsia" w:cs="Times New Roman"/>
          <w:kern w:val="2"/>
          <w:szCs w:val="21"/>
        </w:rPr>
        <w:t xml:space="preserve">拟承担的工作为: </w:t>
      </w:r>
      <w:r>
        <w:rPr>
          <w:rFonts w:hint="eastAsia" w:cs="Times New Roman"/>
          <w:i/>
          <w:kern w:val="2"/>
          <w:szCs w:val="21"/>
          <w:u w:val="single"/>
        </w:rPr>
        <w:t xml:space="preserve">              </w:t>
      </w:r>
      <w:r>
        <w:rPr>
          <w:rFonts w:hint="eastAsia" w:cs="Times New Roman"/>
          <w:kern w:val="2"/>
          <w:szCs w:val="21"/>
        </w:rPr>
        <w:t>，其分包合同金额所占合同总金额比例为</w:t>
      </w:r>
      <w:r>
        <w:rPr>
          <w:rFonts w:hint="eastAsia" w:cs="Times New Roman"/>
          <w:i/>
          <w:kern w:val="2"/>
          <w:szCs w:val="21"/>
          <w:u w:val="single"/>
        </w:rPr>
        <w:t xml:space="preserve"> </w:t>
      </w:r>
      <w:r>
        <w:rPr>
          <w:rFonts w:cs="Times New Roman"/>
          <w:i/>
          <w:kern w:val="2"/>
          <w:szCs w:val="21"/>
          <w:u w:val="single"/>
        </w:rPr>
        <w:t xml:space="preserve">      </w:t>
      </w:r>
      <w:r>
        <w:rPr>
          <w:rFonts w:hint="eastAsia" w:cs="Times New Roman"/>
          <w:kern w:val="2"/>
          <w:szCs w:val="21"/>
        </w:rPr>
        <w:t>。</w:t>
      </w:r>
    </w:p>
    <w:p>
      <w:pPr>
        <w:widowControl w:val="0"/>
        <w:numPr>
          <w:ilvl w:val="0"/>
          <w:numId w:val="8"/>
        </w:numPr>
        <w:shd w:val="clear" w:color="auto" w:fill="auto"/>
        <w:tabs>
          <w:tab w:val="clear" w:pos="426"/>
        </w:tabs>
        <w:adjustRightInd/>
        <w:snapToGrid/>
        <w:spacing w:line="240" w:lineRule="auto"/>
        <w:jc w:val="left"/>
        <w:rPr>
          <w:rFonts w:cs="Times New Roman"/>
          <w:kern w:val="2"/>
          <w:szCs w:val="21"/>
        </w:rPr>
      </w:pPr>
      <w:r>
        <w:rPr>
          <w:rFonts w:hint="eastAsia" w:cs="Times New Roman"/>
          <w:bCs/>
          <w:kern w:val="2"/>
          <w:szCs w:val="21"/>
        </w:rPr>
        <w:t>接受分包合同的中小企业与分包企业之间不存在直接控股、管理关系。</w:t>
      </w:r>
    </w:p>
    <w:p>
      <w:pPr>
        <w:widowControl w:val="0"/>
        <w:numPr>
          <w:ilvl w:val="0"/>
          <w:numId w:val="8"/>
        </w:numPr>
        <w:shd w:val="clear" w:color="auto" w:fill="auto"/>
        <w:tabs>
          <w:tab w:val="clear" w:pos="426"/>
        </w:tabs>
        <w:adjustRightInd/>
        <w:snapToGrid/>
        <w:spacing w:line="240" w:lineRule="auto"/>
        <w:jc w:val="left"/>
        <w:rPr>
          <w:rFonts w:cs="Times New Roman"/>
          <w:kern w:val="2"/>
          <w:szCs w:val="21"/>
        </w:rPr>
      </w:pPr>
      <w:r>
        <w:rPr>
          <w:rFonts w:hint="eastAsia" w:cs="Times New Roman"/>
          <w:kern w:val="2"/>
          <w:szCs w:val="21"/>
        </w:rPr>
        <w:t>如中标，各方应按照招标文件的各项要求和内部职责的划分，承担自身所负的责任和风险。</w:t>
      </w:r>
    </w:p>
    <w:p>
      <w:pPr>
        <w:widowControl w:val="0"/>
        <w:shd w:val="clear" w:color="auto" w:fill="auto"/>
        <w:tabs>
          <w:tab w:val="clear" w:pos="426"/>
        </w:tabs>
        <w:adjustRightInd/>
        <w:snapToGrid/>
        <w:spacing w:line="240" w:lineRule="auto"/>
        <w:ind w:firstLine="420" w:firstLineChars="200"/>
        <w:jc w:val="left"/>
        <w:rPr>
          <w:rFonts w:cs="Times New Roman"/>
          <w:kern w:val="2"/>
          <w:szCs w:val="21"/>
        </w:rPr>
      </w:pPr>
      <w:bookmarkStart w:id="158" w:name="OLE_LINK29"/>
      <w:bookmarkStart w:id="159" w:name="OLE_LINK30"/>
      <w:r>
        <w:rPr>
          <w:rFonts w:hint="eastAsia" w:cs="Times New Roman"/>
          <w:kern w:val="2"/>
          <w:szCs w:val="21"/>
        </w:rPr>
        <w:t>三、本协议在自签署之日起生效，投标有效期内有效，如获中标资格，合同有效期延续至合同履行完毕之日。</w:t>
      </w:r>
    </w:p>
    <w:p>
      <w:pPr>
        <w:widowControl w:val="0"/>
        <w:shd w:val="clear" w:color="auto" w:fill="auto"/>
        <w:tabs>
          <w:tab w:val="clear" w:pos="426"/>
        </w:tabs>
        <w:adjustRightInd/>
        <w:snapToGrid/>
        <w:spacing w:line="240" w:lineRule="auto"/>
        <w:ind w:firstLine="420" w:firstLineChars="200"/>
        <w:jc w:val="left"/>
        <w:rPr>
          <w:rFonts w:cs="Times New Roman"/>
          <w:kern w:val="2"/>
          <w:szCs w:val="21"/>
        </w:rPr>
      </w:pPr>
      <w:r>
        <w:rPr>
          <w:rFonts w:hint="eastAsia" w:cs="Times New Roman"/>
          <w:kern w:val="2"/>
          <w:szCs w:val="21"/>
        </w:rPr>
        <w:t>四、本协议书正本一式</w:t>
      </w:r>
      <w:r>
        <w:rPr>
          <w:rFonts w:hint="eastAsia" w:cs="Times New Roman"/>
          <w:kern w:val="2"/>
          <w:szCs w:val="21"/>
          <w:u w:val="single"/>
        </w:rPr>
        <w:t xml:space="preserve">   </w:t>
      </w:r>
      <w:r>
        <w:rPr>
          <w:rFonts w:hint="eastAsia" w:cs="Times New Roman"/>
          <w:kern w:val="2"/>
          <w:szCs w:val="21"/>
        </w:rPr>
        <w:t>份，随投标文件装订</w:t>
      </w:r>
      <w:r>
        <w:rPr>
          <w:rFonts w:hint="eastAsia" w:cs="Times New Roman"/>
          <w:kern w:val="2"/>
          <w:szCs w:val="21"/>
          <w:u w:val="single"/>
        </w:rPr>
        <w:t xml:space="preserve">   </w:t>
      </w:r>
      <w:r>
        <w:rPr>
          <w:rFonts w:hint="eastAsia" w:cs="Times New Roman"/>
          <w:kern w:val="2"/>
          <w:szCs w:val="21"/>
        </w:rPr>
        <w:t>份，送采购人</w:t>
      </w:r>
      <w:r>
        <w:rPr>
          <w:rFonts w:hint="eastAsia" w:cs="Times New Roman"/>
          <w:kern w:val="2"/>
          <w:szCs w:val="21"/>
          <w:u w:val="single"/>
        </w:rPr>
        <w:t xml:space="preserve">   </w:t>
      </w:r>
      <w:r>
        <w:rPr>
          <w:rFonts w:hint="eastAsia" w:cs="Times New Roman"/>
          <w:kern w:val="2"/>
          <w:szCs w:val="21"/>
        </w:rPr>
        <w:t xml:space="preserve">份，分包意向协议成员各一份；副本一式 </w:t>
      </w:r>
      <w:r>
        <w:rPr>
          <w:rFonts w:hint="eastAsia" w:cs="Times New Roman"/>
          <w:kern w:val="2"/>
          <w:szCs w:val="21"/>
          <w:u w:val="single"/>
        </w:rPr>
        <w:t xml:space="preserve">  </w:t>
      </w:r>
      <w:r>
        <w:rPr>
          <w:rFonts w:hint="eastAsia" w:cs="Times New Roman"/>
          <w:kern w:val="2"/>
          <w:szCs w:val="21"/>
        </w:rPr>
        <w:t xml:space="preserve">份，分包意向协议成员各执 </w:t>
      </w:r>
      <w:r>
        <w:rPr>
          <w:rFonts w:hint="eastAsia" w:cs="Times New Roman"/>
          <w:kern w:val="2"/>
          <w:szCs w:val="21"/>
          <w:u w:val="single"/>
        </w:rPr>
        <w:t xml:space="preserve">   </w:t>
      </w:r>
      <w:r>
        <w:rPr>
          <w:rFonts w:hint="eastAsia" w:cs="Times New Roman"/>
          <w:kern w:val="2"/>
          <w:szCs w:val="21"/>
        </w:rPr>
        <w:t>份。</w:t>
      </w:r>
    </w:p>
    <w:bookmarkEnd w:id="158"/>
    <w:p>
      <w:pPr>
        <w:widowControl w:val="0"/>
        <w:shd w:val="clear" w:color="auto" w:fill="auto"/>
        <w:tabs>
          <w:tab w:val="clear" w:pos="426"/>
        </w:tabs>
        <w:adjustRightInd/>
        <w:snapToGrid/>
        <w:spacing w:line="240" w:lineRule="auto"/>
        <w:ind w:firstLine="420" w:firstLineChars="200"/>
        <w:rPr>
          <w:rFonts w:hAnsi="Courier New" w:cs="Courier New"/>
          <w:kern w:val="2"/>
          <w:szCs w:val="21"/>
        </w:rPr>
      </w:pPr>
    </w:p>
    <w:bookmarkEnd w:id="159"/>
    <w:p>
      <w:pPr>
        <w:shd w:val="clear" w:color="auto" w:fill="auto"/>
        <w:tabs>
          <w:tab w:val="left" w:pos="7740"/>
          <w:tab w:val="clear" w:pos="426"/>
        </w:tabs>
        <w:adjustRightInd/>
        <w:snapToGrid/>
        <w:spacing w:line="240" w:lineRule="auto"/>
        <w:jc w:val="left"/>
        <w:rPr>
          <w:rFonts w:cs="Times New Roman"/>
          <w:kern w:val="2"/>
          <w:szCs w:val="21"/>
        </w:rPr>
      </w:pPr>
    </w:p>
    <w:p>
      <w:pPr>
        <w:shd w:val="clear" w:color="auto" w:fill="auto"/>
        <w:tabs>
          <w:tab w:val="left" w:pos="7740"/>
          <w:tab w:val="clear" w:pos="426"/>
        </w:tabs>
        <w:adjustRightInd/>
        <w:snapToGrid/>
        <w:spacing w:line="240" w:lineRule="auto"/>
        <w:jc w:val="left"/>
        <w:rPr>
          <w:rFonts w:cs="Times New Roman"/>
          <w:kern w:val="2"/>
          <w:szCs w:val="21"/>
        </w:rPr>
      </w:pPr>
      <w:r>
        <w:rPr>
          <w:rFonts w:hint="eastAsia" w:cs="Times New Roman"/>
          <w:kern w:val="2"/>
          <w:szCs w:val="21"/>
        </w:rPr>
        <w:t>甲方全称（盖章）：</w:t>
      </w:r>
      <w:r>
        <w:rPr>
          <w:rFonts w:cs="Times New Roman"/>
          <w:kern w:val="2"/>
          <w:szCs w:val="21"/>
          <w:u w:val="single"/>
        </w:rPr>
        <w:t xml:space="preserve">        </w:t>
      </w:r>
    </w:p>
    <w:p>
      <w:pPr>
        <w:shd w:val="clear" w:color="auto" w:fill="auto"/>
        <w:tabs>
          <w:tab w:val="left" w:pos="7740"/>
          <w:tab w:val="clear" w:pos="426"/>
        </w:tabs>
        <w:adjustRightInd/>
        <w:snapToGrid/>
        <w:spacing w:line="240" w:lineRule="auto"/>
        <w:jc w:val="left"/>
        <w:rPr>
          <w:rFonts w:cs="Times New Roman"/>
          <w:kern w:val="2"/>
          <w:szCs w:val="21"/>
          <w:u w:val="single"/>
        </w:rPr>
      </w:pPr>
      <w:r>
        <w:rPr>
          <w:rFonts w:hint="eastAsia" w:cs="Times New Roman"/>
          <w:kern w:val="2"/>
          <w:szCs w:val="21"/>
        </w:rPr>
        <w:t>法定代表人（签字）：</w:t>
      </w:r>
      <w:r>
        <w:rPr>
          <w:rFonts w:hint="eastAsia" w:cs="Times New Roman"/>
          <w:kern w:val="2"/>
          <w:szCs w:val="21"/>
          <w:u w:val="single"/>
        </w:rPr>
        <w:t xml:space="preserve"> </w:t>
      </w:r>
      <w:r>
        <w:rPr>
          <w:rFonts w:cs="Times New Roman"/>
          <w:kern w:val="2"/>
          <w:szCs w:val="21"/>
          <w:u w:val="single"/>
        </w:rPr>
        <w:t xml:space="preserve">       </w:t>
      </w:r>
    </w:p>
    <w:p>
      <w:pPr>
        <w:shd w:val="clear" w:color="auto" w:fill="auto"/>
        <w:tabs>
          <w:tab w:val="left" w:pos="7740"/>
          <w:tab w:val="clear" w:pos="426"/>
        </w:tabs>
        <w:adjustRightInd/>
        <w:snapToGrid/>
        <w:spacing w:line="240" w:lineRule="auto"/>
        <w:jc w:val="left"/>
        <w:rPr>
          <w:rFonts w:cs="Times New Roman"/>
          <w:kern w:val="2"/>
          <w:szCs w:val="21"/>
        </w:rPr>
      </w:pPr>
      <w:r>
        <w:rPr>
          <w:rFonts w:hint="eastAsia" w:cs="Times New Roman"/>
          <w:kern w:val="2"/>
          <w:szCs w:val="21"/>
          <w:u w:val="single"/>
        </w:rPr>
        <w:t xml:space="preserve"> </w:t>
      </w:r>
      <w:r>
        <w:rPr>
          <w:rFonts w:cs="Times New Roman"/>
          <w:kern w:val="2"/>
          <w:szCs w:val="21"/>
          <w:u w:val="single"/>
        </w:rPr>
        <w:t xml:space="preserve">    </w:t>
      </w:r>
      <w:r>
        <w:rPr>
          <w:rFonts w:hint="eastAsia" w:cs="Times New Roman"/>
          <w:kern w:val="2"/>
          <w:szCs w:val="21"/>
          <w:u w:val="single"/>
        </w:rPr>
        <w:t xml:space="preserve">  </w:t>
      </w:r>
      <w:r>
        <w:rPr>
          <w:rFonts w:hint="eastAsia" w:cs="Times New Roman"/>
          <w:kern w:val="2"/>
          <w:szCs w:val="21"/>
        </w:rPr>
        <w:t>年</w:t>
      </w:r>
      <w:r>
        <w:rPr>
          <w:rFonts w:hint="eastAsia" w:cs="Times New Roman"/>
          <w:kern w:val="2"/>
          <w:szCs w:val="21"/>
          <w:u w:val="single"/>
        </w:rPr>
        <w:t xml:space="preserve"> </w:t>
      </w:r>
      <w:r>
        <w:rPr>
          <w:rFonts w:cs="Times New Roman"/>
          <w:kern w:val="2"/>
          <w:szCs w:val="21"/>
          <w:u w:val="single"/>
        </w:rPr>
        <w:t xml:space="preserve">  </w:t>
      </w:r>
      <w:r>
        <w:rPr>
          <w:rFonts w:hint="eastAsia" w:cs="Times New Roman"/>
          <w:kern w:val="2"/>
          <w:szCs w:val="21"/>
          <w:u w:val="single"/>
        </w:rPr>
        <w:t xml:space="preserve">  </w:t>
      </w:r>
      <w:r>
        <w:rPr>
          <w:rFonts w:hint="eastAsia" w:cs="Times New Roman"/>
          <w:kern w:val="2"/>
          <w:szCs w:val="21"/>
        </w:rPr>
        <w:t>月</w:t>
      </w:r>
      <w:r>
        <w:rPr>
          <w:rFonts w:hint="eastAsia" w:cs="Times New Roman"/>
          <w:kern w:val="2"/>
          <w:szCs w:val="21"/>
          <w:u w:val="single"/>
        </w:rPr>
        <w:t xml:space="preserve">  </w:t>
      </w:r>
      <w:r>
        <w:rPr>
          <w:rFonts w:cs="Times New Roman"/>
          <w:kern w:val="2"/>
          <w:szCs w:val="21"/>
          <w:u w:val="single"/>
        </w:rPr>
        <w:t xml:space="preserve">  </w:t>
      </w:r>
      <w:r>
        <w:rPr>
          <w:rFonts w:hint="eastAsia" w:cs="Times New Roman"/>
          <w:kern w:val="2"/>
          <w:szCs w:val="21"/>
          <w:u w:val="single"/>
        </w:rPr>
        <w:t xml:space="preserve"> </w:t>
      </w:r>
      <w:r>
        <w:rPr>
          <w:rFonts w:hint="eastAsia" w:cs="Times New Roman"/>
          <w:kern w:val="2"/>
          <w:szCs w:val="21"/>
        </w:rPr>
        <w:t>日</w:t>
      </w:r>
    </w:p>
    <w:p>
      <w:pPr>
        <w:shd w:val="clear" w:color="auto" w:fill="auto"/>
        <w:tabs>
          <w:tab w:val="left" w:pos="7740"/>
          <w:tab w:val="clear" w:pos="426"/>
        </w:tabs>
        <w:adjustRightInd/>
        <w:snapToGrid/>
        <w:spacing w:line="240" w:lineRule="auto"/>
        <w:jc w:val="left"/>
        <w:rPr>
          <w:rFonts w:cs="Times New Roman"/>
          <w:kern w:val="2"/>
          <w:szCs w:val="21"/>
        </w:rPr>
      </w:pPr>
    </w:p>
    <w:p>
      <w:pPr>
        <w:shd w:val="clear" w:color="auto" w:fill="auto"/>
        <w:tabs>
          <w:tab w:val="left" w:pos="7740"/>
          <w:tab w:val="clear" w:pos="426"/>
        </w:tabs>
        <w:adjustRightInd/>
        <w:snapToGrid/>
        <w:spacing w:line="240" w:lineRule="auto"/>
        <w:jc w:val="left"/>
        <w:rPr>
          <w:rFonts w:cs="Times New Roman"/>
          <w:kern w:val="2"/>
          <w:szCs w:val="21"/>
        </w:rPr>
      </w:pPr>
      <w:r>
        <w:rPr>
          <w:rFonts w:hint="eastAsia" w:cs="Times New Roman"/>
          <w:kern w:val="2"/>
          <w:szCs w:val="21"/>
        </w:rPr>
        <w:t>乙方全称（盖章）：</w:t>
      </w:r>
      <w:r>
        <w:rPr>
          <w:rFonts w:cs="Times New Roman"/>
          <w:kern w:val="2"/>
          <w:szCs w:val="21"/>
          <w:u w:val="single"/>
        </w:rPr>
        <w:t xml:space="preserve">        </w:t>
      </w:r>
    </w:p>
    <w:p>
      <w:pPr>
        <w:shd w:val="clear" w:color="auto" w:fill="auto"/>
        <w:tabs>
          <w:tab w:val="left" w:pos="7740"/>
          <w:tab w:val="clear" w:pos="426"/>
        </w:tabs>
        <w:adjustRightInd/>
        <w:snapToGrid/>
        <w:spacing w:line="240" w:lineRule="auto"/>
        <w:jc w:val="left"/>
        <w:rPr>
          <w:rFonts w:cs="Times New Roman"/>
          <w:kern w:val="2"/>
          <w:szCs w:val="21"/>
          <w:u w:val="single"/>
        </w:rPr>
      </w:pPr>
      <w:r>
        <w:rPr>
          <w:rFonts w:hint="eastAsia" w:cs="Times New Roman"/>
          <w:kern w:val="2"/>
          <w:szCs w:val="21"/>
        </w:rPr>
        <w:t>法定代表人（签字）：</w:t>
      </w:r>
      <w:r>
        <w:rPr>
          <w:rFonts w:hint="eastAsia" w:cs="Times New Roman"/>
          <w:kern w:val="2"/>
          <w:szCs w:val="21"/>
          <w:u w:val="single"/>
        </w:rPr>
        <w:t xml:space="preserve"> </w:t>
      </w:r>
      <w:r>
        <w:rPr>
          <w:rFonts w:cs="Times New Roman"/>
          <w:kern w:val="2"/>
          <w:szCs w:val="21"/>
          <w:u w:val="single"/>
        </w:rPr>
        <w:t xml:space="preserve">       </w:t>
      </w:r>
    </w:p>
    <w:p>
      <w:pPr>
        <w:shd w:val="clear" w:color="auto" w:fill="auto"/>
        <w:tabs>
          <w:tab w:val="left" w:pos="7740"/>
          <w:tab w:val="clear" w:pos="426"/>
        </w:tabs>
        <w:adjustRightInd/>
        <w:snapToGrid/>
        <w:spacing w:line="240" w:lineRule="auto"/>
        <w:jc w:val="left"/>
        <w:rPr>
          <w:rFonts w:cs="Times New Roman"/>
          <w:kern w:val="2"/>
          <w:szCs w:val="21"/>
        </w:rPr>
      </w:pPr>
      <w:r>
        <w:rPr>
          <w:rFonts w:hint="eastAsia" w:cs="Times New Roman"/>
          <w:kern w:val="2"/>
          <w:szCs w:val="21"/>
          <w:u w:val="single"/>
        </w:rPr>
        <w:t xml:space="preserve"> </w:t>
      </w:r>
      <w:r>
        <w:rPr>
          <w:rFonts w:cs="Times New Roman"/>
          <w:kern w:val="2"/>
          <w:szCs w:val="21"/>
          <w:u w:val="single"/>
        </w:rPr>
        <w:t xml:space="preserve">    </w:t>
      </w:r>
      <w:r>
        <w:rPr>
          <w:rFonts w:hint="eastAsia" w:cs="Times New Roman"/>
          <w:kern w:val="2"/>
          <w:szCs w:val="21"/>
          <w:u w:val="single"/>
        </w:rPr>
        <w:t xml:space="preserve">  </w:t>
      </w:r>
      <w:r>
        <w:rPr>
          <w:rFonts w:hint="eastAsia" w:cs="Times New Roman"/>
          <w:kern w:val="2"/>
          <w:szCs w:val="21"/>
        </w:rPr>
        <w:t>年</w:t>
      </w:r>
      <w:r>
        <w:rPr>
          <w:rFonts w:hint="eastAsia" w:cs="Times New Roman"/>
          <w:kern w:val="2"/>
          <w:szCs w:val="21"/>
          <w:u w:val="single"/>
        </w:rPr>
        <w:t xml:space="preserve"> </w:t>
      </w:r>
      <w:r>
        <w:rPr>
          <w:rFonts w:cs="Times New Roman"/>
          <w:kern w:val="2"/>
          <w:szCs w:val="21"/>
          <w:u w:val="single"/>
        </w:rPr>
        <w:t xml:space="preserve">  </w:t>
      </w:r>
      <w:r>
        <w:rPr>
          <w:rFonts w:hint="eastAsia" w:cs="Times New Roman"/>
          <w:kern w:val="2"/>
          <w:szCs w:val="21"/>
          <w:u w:val="single"/>
        </w:rPr>
        <w:t xml:space="preserve">  </w:t>
      </w:r>
      <w:r>
        <w:rPr>
          <w:rFonts w:hint="eastAsia" w:cs="Times New Roman"/>
          <w:kern w:val="2"/>
          <w:szCs w:val="21"/>
        </w:rPr>
        <w:t>月</w:t>
      </w:r>
      <w:r>
        <w:rPr>
          <w:rFonts w:hint="eastAsia" w:cs="Times New Roman"/>
          <w:kern w:val="2"/>
          <w:szCs w:val="21"/>
          <w:u w:val="single"/>
        </w:rPr>
        <w:t xml:space="preserve">  </w:t>
      </w:r>
      <w:r>
        <w:rPr>
          <w:rFonts w:cs="Times New Roman"/>
          <w:kern w:val="2"/>
          <w:szCs w:val="21"/>
          <w:u w:val="single"/>
        </w:rPr>
        <w:t xml:space="preserve">  </w:t>
      </w:r>
      <w:r>
        <w:rPr>
          <w:rFonts w:hint="eastAsia" w:cs="Times New Roman"/>
          <w:kern w:val="2"/>
          <w:szCs w:val="21"/>
          <w:u w:val="single"/>
        </w:rPr>
        <w:t xml:space="preserve"> </w:t>
      </w:r>
      <w:r>
        <w:rPr>
          <w:rFonts w:hint="eastAsia" w:cs="Times New Roman"/>
          <w:kern w:val="2"/>
          <w:szCs w:val="21"/>
        </w:rPr>
        <w:t>日</w:t>
      </w:r>
    </w:p>
    <w:p>
      <w:pPr>
        <w:shd w:val="clear" w:color="auto" w:fill="auto"/>
        <w:tabs>
          <w:tab w:val="left" w:pos="7740"/>
          <w:tab w:val="clear" w:pos="426"/>
        </w:tabs>
        <w:adjustRightInd/>
        <w:snapToGrid/>
        <w:spacing w:line="240" w:lineRule="auto"/>
        <w:jc w:val="left"/>
        <w:rPr>
          <w:rFonts w:cs="Times New Roman"/>
          <w:kern w:val="2"/>
          <w:szCs w:val="21"/>
        </w:rPr>
      </w:pPr>
    </w:p>
    <w:p>
      <w:pPr>
        <w:shd w:val="clear" w:color="auto" w:fill="auto"/>
        <w:tabs>
          <w:tab w:val="left" w:pos="7740"/>
          <w:tab w:val="clear" w:pos="426"/>
        </w:tabs>
        <w:adjustRightInd/>
        <w:snapToGrid/>
        <w:spacing w:line="240" w:lineRule="auto"/>
        <w:jc w:val="left"/>
        <w:rPr>
          <w:rFonts w:cs="Times New Roman"/>
          <w:kern w:val="2"/>
          <w:szCs w:val="21"/>
        </w:rPr>
      </w:pPr>
      <w:r>
        <w:rPr>
          <w:rFonts w:hint="eastAsia" w:cs="Times New Roman"/>
          <w:kern w:val="2"/>
          <w:szCs w:val="21"/>
        </w:rPr>
        <w:t>丙方全称（盖章）：</w:t>
      </w:r>
      <w:r>
        <w:rPr>
          <w:rFonts w:cs="Times New Roman"/>
          <w:kern w:val="2"/>
          <w:szCs w:val="21"/>
          <w:u w:val="single"/>
        </w:rPr>
        <w:t xml:space="preserve">        </w:t>
      </w:r>
    </w:p>
    <w:p>
      <w:pPr>
        <w:shd w:val="clear" w:color="auto" w:fill="auto"/>
        <w:tabs>
          <w:tab w:val="left" w:pos="7740"/>
          <w:tab w:val="clear" w:pos="426"/>
        </w:tabs>
        <w:adjustRightInd/>
        <w:snapToGrid/>
        <w:spacing w:line="240" w:lineRule="auto"/>
        <w:jc w:val="left"/>
        <w:rPr>
          <w:rFonts w:cs="Times New Roman"/>
          <w:kern w:val="2"/>
          <w:szCs w:val="21"/>
          <w:u w:val="single"/>
        </w:rPr>
      </w:pPr>
      <w:r>
        <w:rPr>
          <w:rFonts w:hint="eastAsia" w:cs="Times New Roman"/>
          <w:kern w:val="2"/>
          <w:szCs w:val="21"/>
        </w:rPr>
        <w:t>法定代表人（签字）：</w:t>
      </w:r>
      <w:r>
        <w:rPr>
          <w:rFonts w:hint="eastAsia" w:cs="Times New Roman"/>
          <w:kern w:val="2"/>
          <w:szCs w:val="21"/>
          <w:u w:val="single"/>
        </w:rPr>
        <w:t xml:space="preserve"> </w:t>
      </w:r>
      <w:r>
        <w:rPr>
          <w:rFonts w:cs="Times New Roman"/>
          <w:kern w:val="2"/>
          <w:szCs w:val="21"/>
          <w:u w:val="single"/>
        </w:rPr>
        <w:t xml:space="preserve">       </w:t>
      </w:r>
    </w:p>
    <w:p>
      <w:pPr>
        <w:shd w:val="clear" w:color="auto" w:fill="auto"/>
        <w:tabs>
          <w:tab w:val="left" w:pos="7740"/>
          <w:tab w:val="clear" w:pos="426"/>
        </w:tabs>
        <w:adjustRightInd/>
        <w:snapToGrid/>
        <w:spacing w:line="240" w:lineRule="auto"/>
        <w:jc w:val="left"/>
        <w:rPr>
          <w:rFonts w:cs="Times New Roman"/>
          <w:kern w:val="2"/>
          <w:szCs w:val="21"/>
        </w:rPr>
      </w:pPr>
      <w:r>
        <w:rPr>
          <w:rFonts w:hint="eastAsia" w:cs="Times New Roman"/>
          <w:kern w:val="2"/>
          <w:szCs w:val="21"/>
          <w:u w:val="single"/>
        </w:rPr>
        <w:t xml:space="preserve"> </w:t>
      </w:r>
      <w:r>
        <w:rPr>
          <w:rFonts w:cs="Times New Roman"/>
          <w:kern w:val="2"/>
          <w:szCs w:val="21"/>
          <w:u w:val="single"/>
        </w:rPr>
        <w:t xml:space="preserve">    </w:t>
      </w:r>
      <w:r>
        <w:rPr>
          <w:rFonts w:hint="eastAsia" w:cs="Times New Roman"/>
          <w:kern w:val="2"/>
          <w:szCs w:val="21"/>
          <w:u w:val="single"/>
        </w:rPr>
        <w:t xml:space="preserve">  </w:t>
      </w:r>
      <w:r>
        <w:rPr>
          <w:rFonts w:hint="eastAsia" w:cs="Times New Roman"/>
          <w:kern w:val="2"/>
          <w:szCs w:val="21"/>
        </w:rPr>
        <w:t>年</w:t>
      </w:r>
      <w:r>
        <w:rPr>
          <w:rFonts w:hint="eastAsia" w:cs="Times New Roman"/>
          <w:kern w:val="2"/>
          <w:szCs w:val="21"/>
          <w:u w:val="single"/>
        </w:rPr>
        <w:t xml:space="preserve"> </w:t>
      </w:r>
      <w:r>
        <w:rPr>
          <w:rFonts w:cs="Times New Roman"/>
          <w:kern w:val="2"/>
          <w:szCs w:val="21"/>
          <w:u w:val="single"/>
        </w:rPr>
        <w:t xml:space="preserve">  </w:t>
      </w:r>
      <w:r>
        <w:rPr>
          <w:rFonts w:hint="eastAsia" w:cs="Times New Roman"/>
          <w:kern w:val="2"/>
          <w:szCs w:val="21"/>
          <w:u w:val="single"/>
        </w:rPr>
        <w:t xml:space="preserve">  </w:t>
      </w:r>
      <w:r>
        <w:rPr>
          <w:rFonts w:hint="eastAsia" w:cs="Times New Roman"/>
          <w:kern w:val="2"/>
          <w:szCs w:val="21"/>
        </w:rPr>
        <w:t>月</w:t>
      </w:r>
      <w:r>
        <w:rPr>
          <w:rFonts w:hint="eastAsia" w:cs="Times New Roman"/>
          <w:kern w:val="2"/>
          <w:szCs w:val="21"/>
          <w:u w:val="single"/>
        </w:rPr>
        <w:t xml:space="preserve">  </w:t>
      </w:r>
      <w:r>
        <w:rPr>
          <w:rFonts w:cs="Times New Roman"/>
          <w:kern w:val="2"/>
          <w:szCs w:val="21"/>
          <w:u w:val="single"/>
        </w:rPr>
        <w:t xml:space="preserve">  </w:t>
      </w:r>
      <w:r>
        <w:rPr>
          <w:rFonts w:hint="eastAsia" w:cs="Times New Roman"/>
          <w:kern w:val="2"/>
          <w:szCs w:val="21"/>
          <w:u w:val="single"/>
        </w:rPr>
        <w:t xml:space="preserve"> </w:t>
      </w:r>
      <w:r>
        <w:rPr>
          <w:rFonts w:hint="eastAsia" w:cs="Times New Roman"/>
          <w:kern w:val="2"/>
          <w:szCs w:val="21"/>
        </w:rPr>
        <w:t>日</w:t>
      </w:r>
    </w:p>
    <w:p>
      <w:pPr>
        <w:shd w:val="clear" w:color="auto" w:fill="auto"/>
        <w:tabs>
          <w:tab w:val="left" w:pos="7740"/>
          <w:tab w:val="clear" w:pos="426"/>
        </w:tabs>
        <w:adjustRightInd/>
        <w:snapToGrid/>
        <w:spacing w:line="240" w:lineRule="auto"/>
        <w:jc w:val="left"/>
        <w:rPr>
          <w:rFonts w:cs="Times New Roman"/>
          <w:kern w:val="2"/>
          <w:szCs w:val="21"/>
        </w:rPr>
      </w:pPr>
    </w:p>
    <w:p>
      <w:pPr>
        <w:shd w:val="clear" w:color="auto" w:fill="auto"/>
        <w:tabs>
          <w:tab w:val="left" w:pos="7740"/>
          <w:tab w:val="clear" w:pos="426"/>
        </w:tabs>
        <w:adjustRightInd/>
        <w:snapToGrid/>
        <w:spacing w:line="240" w:lineRule="auto"/>
        <w:jc w:val="left"/>
        <w:rPr>
          <w:rFonts w:cs="Times New Roman"/>
          <w:kern w:val="2"/>
          <w:szCs w:val="21"/>
        </w:rPr>
      </w:pPr>
      <w:r>
        <w:rPr>
          <w:rFonts w:hint="eastAsia" w:cs="Times New Roman"/>
          <w:kern w:val="2"/>
          <w:szCs w:val="21"/>
        </w:rPr>
        <w:t>……方全称（盖章）：</w:t>
      </w:r>
      <w:r>
        <w:rPr>
          <w:rFonts w:cs="Times New Roman"/>
          <w:kern w:val="2"/>
          <w:szCs w:val="21"/>
          <w:u w:val="single"/>
        </w:rPr>
        <w:t xml:space="preserve">        </w:t>
      </w:r>
    </w:p>
    <w:p>
      <w:pPr>
        <w:shd w:val="clear" w:color="auto" w:fill="auto"/>
        <w:tabs>
          <w:tab w:val="left" w:pos="7740"/>
          <w:tab w:val="clear" w:pos="426"/>
        </w:tabs>
        <w:adjustRightInd/>
        <w:snapToGrid/>
        <w:spacing w:line="240" w:lineRule="auto"/>
        <w:jc w:val="left"/>
        <w:rPr>
          <w:rFonts w:cs="Times New Roman"/>
          <w:kern w:val="2"/>
          <w:szCs w:val="21"/>
          <w:u w:val="single"/>
        </w:rPr>
      </w:pPr>
      <w:r>
        <w:rPr>
          <w:rFonts w:hint="eastAsia" w:cs="Times New Roman"/>
          <w:kern w:val="2"/>
          <w:szCs w:val="21"/>
        </w:rPr>
        <w:t>法定代表人（签字）：</w:t>
      </w:r>
      <w:r>
        <w:rPr>
          <w:rFonts w:hint="eastAsia" w:cs="Times New Roman"/>
          <w:kern w:val="2"/>
          <w:szCs w:val="21"/>
          <w:u w:val="single"/>
        </w:rPr>
        <w:t xml:space="preserve"> </w:t>
      </w:r>
      <w:r>
        <w:rPr>
          <w:rFonts w:cs="Times New Roman"/>
          <w:kern w:val="2"/>
          <w:szCs w:val="21"/>
          <w:u w:val="single"/>
        </w:rPr>
        <w:t xml:space="preserve">       </w:t>
      </w:r>
    </w:p>
    <w:p>
      <w:pPr>
        <w:shd w:val="clear" w:color="auto" w:fill="auto"/>
        <w:tabs>
          <w:tab w:val="left" w:pos="7740"/>
          <w:tab w:val="clear" w:pos="426"/>
        </w:tabs>
        <w:adjustRightInd/>
        <w:snapToGrid/>
        <w:spacing w:line="240" w:lineRule="auto"/>
        <w:jc w:val="left"/>
        <w:rPr>
          <w:rFonts w:cs="Times New Roman"/>
          <w:kern w:val="2"/>
          <w:szCs w:val="21"/>
        </w:rPr>
      </w:pPr>
      <w:r>
        <w:rPr>
          <w:rFonts w:hint="eastAsia" w:cs="Times New Roman"/>
          <w:kern w:val="2"/>
          <w:szCs w:val="21"/>
          <w:u w:val="single"/>
        </w:rPr>
        <w:t xml:space="preserve"> </w:t>
      </w:r>
      <w:r>
        <w:rPr>
          <w:rFonts w:cs="Times New Roman"/>
          <w:kern w:val="2"/>
          <w:szCs w:val="21"/>
          <w:u w:val="single"/>
        </w:rPr>
        <w:t xml:space="preserve">    </w:t>
      </w:r>
      <w:r>
        <w:rPr>
          <w:rFonts w:hint="eastAsia" w:cs="Times New Roman"/>
          <w:kern w:val="2"/>
          <w:szCs w:val="21"/>
          <w:u w:val="single"/>
        </w:rPr>
        <w:t xml:space="preserve">  </w:t>
      </w:r>
      <w:r>
        <w:rPr>
          <w:rFonts w:hint="eastAsia" w:cs="Times New Roman"/>
          <w:kern w:val="2"/>
          <w:szCs w:val="21"/>
        </w:rPr>
        <w:t>年</w:t>
      </w:r>
      <w:r>
        <w:rPr>
          <w:rFonts w:hint="eastAsia" w:cs="Times New Roman"/>
          <w:kern w:val="2"/>
          <w:szCs w:val="21"/>
          <w:u w:val="single"/>
        </w:rPr>
        <w:t xml:space="preserve"> </w:t>
      </w:r>
      <w:r>
        <w:rPr>
          <w:rFonts w:cs="Times New Roman"/>
          <w:kern w:val="2"/>
          <w:szCs w:val="21"/>
          <w:u w:val="single"/>
        </w:rPr>
        <w:t xml:space="preserve">  </w:t>
      </w:r>
      <w:r>
        <w:rPr>
          <w:rFonts w:hint="eastAsia" w:cs="Times New Roman"/>
          <w:kern w:val="2"/>
          <w:szCs w:val="21"/>
          <w:u w:val="single"/>
        </w:rPr>
        <w:t xml:space="preserve">  </w:t>
      </w:r>
      <w:r>
        <w:rPr>
          <w:rFonts w:hint="eastAsia" w:cs="Times New Roman"/>
          <w:kern w:val="2"/>
          <w:szCs w:val="21"/>
        </w:rPr>
        <w:t>月</w:t>
      </w:r>
      <w:r>
        <w:rPr>
          <w:rFonts w:hint="eastAsia" w:cs="Times New Roman"/>
          <w:kern w:val="2"/>
          <w:szCs w:val="21"/>
          <w:u w:val="single"/>
        </w:rPr>
        <w:t xml:space="preserve">  </w:t>
      </w:r>
      <w:r>
        <w:rPr>
          <w:rFonts w:cs="Times New Roman"/>
          <w:kern w:val="2"/>
          <w:szCs w:val="21"/>
          <w:u w:val="single"/>
        </w:rPr>
        <w:t xml:space="preserve">  </w:t>
      </w:r>
      <w:r>
        <w:rPr>
          <w:rFonts w:hint="eastAsia" w:cs="Times New Roman"/>
          <w:kern w:val="2"/>
          <w:szCs w:val="21"/>
          <w:u w:val="single"/>
        </w:rPr>
        <w:t xml:space="preserve"> </w:t>
      </w:r>
      <w:r>
        <w:rPr>
          <w:rFonts w:hint="eastAsia" w:cs="Times New Roman"/>
          <w:kern w:val="2"/>
          <w:szCs w:val="21"/>
        </w:rPr>
        <w:t>日</w:t>
      </w:r>
    </w:p>
    <w:p>
      <w:pPr>
        <w:shd w:val="clear" w:color="auto" w:fill="auto"/>
        <w:tabs>
          <w:tab w:val="left" w:pos="7740"/>
          <w:tab w:val="clear" w:pos="426"/>
        </w:tabs>
        <w:adjustRightInd/>
        <w:snapToGrid/>
        <w:spacing w:line="240" w:lineRule="auto"/>
        <w:jc w:val="left"/>
        <w:rPr>
          <w:rFonts w:cs="Times New Roman"/>
          <w:kern w:val="2"/>
          <w:szCs w:val="21"/>
        </w:rPr>
      </w:pPr>
    </w:p>
    <w:p>
      <w:pPr>
        <w:shd w:val="clear" w:color="auto" w:fill="auto"/>
        <w:tabs>
          <w:tab w:val="left" w:pos="7740"/>
          <w:tab w:val="clear" w:pos="426"/>
        </w:tabs>
        <w:adjustRightInd/>
        <w:snapToGrid/>
        <w:spacing w:line="240" w:lineRule="auto"/>
        <w:jc w:val="left"/>
        <w:rPr>
          <w:rFonts w:cs="Times New Roman"/>
          <w:kern w:val="2"/>
          <w:szCs w:val="21"/>
        </w:rPr>
      </w:pPr>
    </w:p>
    <w:p>
      <w:pPr>
        <w:widowControl w:val="0"/>
        <w:shd w:val="clear" w:color="auto" w:fill="auto"/>
        <w:tabs>
          <w:tab w:val="left" w:pos="7740"/>
          <w:tab w:val="clear" w:pos="426"/>
        </w:tabs>
        <w:adjustRightInd/>
        <w:snapToGrid/>
        <w:spacing w:line="240" w:lineRule="auto"/>
        <w:ind w:left="617" w:hanging="617" w:hangingChars="294"/>
        <w:rPr>
          <w:rFonts w:cs="Times New Roman"/>
          <w:kern w:val="2"/>
          <w:szCs w:val="21"/>
        </w:rPr>
      </w:pPr>
      <w:r>
        <w:rPr>
          <w:rFonts w:hint="eastAsia" w:cs="Times New Roman"/>
          <w:kern w:val="2"/>
          <w:szCs w:val="21"/>
        </w:rPr>
        <w:t>注：</w:t>
      </w:r>
    </w:p>
    <w:p>
      <w:pPr>
        <w:widowControl w:val="0"/>
        <w:shd w:val="clear" w:color="auto" w:fill="auto"/>
        <w:tabs>
          <w:tab w:val="left" w:pos="7740"/>
          <w:tab w:val="clear" w:pos="426"/>
        </w:tabs>
        <w:adjustRightInd/>
        <w:snapToGrid/>
        <w:spacing w:line="240" w:lineRule="auto"/>
        <w:ind w:left="617" w:hanging="617" w:hangingChars="294"/>
        <w:rPr>
          <w:rFonts w:cs="Times New Roman"/>
          <w:kern w:val="2"/>
          <w:szCs w:val="21"/>
        </w:rPr>
      </w:pPr>
      <w:r>
        <w:rPr>
          <w:rFonts w:hint="eastAsia" w:cs="Times New Roman"/>
          <w:kern w:val="2"/>
          <w:szCs w:val="21"/>
        </w:rPr>
        <w:t>1.投标人投标时应签订本协议，协议各方成员应在本协议上共同盖章确认。</w:t>
      </w:r>
    </w:p>
    <w:p>
      <w:pPr>
        <w:widowControl w:val="0"/>
        <w:shd w:val="clear" w:color="auto" w:fill="auto"/>
        <w:tabs>
          <w:tab w:val="clear" w:pos="426"/>
        </w:tabs>
        <w:adjustRightInd/>
        <w:snapToGrid/>
        <w:spacing w:line="240" w:lineRule="auto"/>
        <w:rPr>
          <w:rFonts w:cs="Times New Roman"/>
          <w:kern w:val="2"/>
          <w:szCs w:val="21"/>
        </w:rPr>
      </w:pPr>
      <w:r>
        <w:rPr>
          <w:rFonts w:hint="eastAsia" w:cs="Times New Roman"/>
          <w:kern w:val="2"/>
          <w:szCs w:val="21"/>
        </w:rPr>
        <w:t>2.本协议内容可依据实际情况修改。此协议将作为签订合同的附件之一。</w:t>
      </w:r>
    </w:p>
    <w:p>
      <w:pPr>
        <w:numPr>
          <w:ilvl w:val="0"/>
          <w:numId w:val="6"/>
        </w:numPr>
        <w:adjustRightInd/>
        <w:snapToGrid/>
        <w:spacing w:before="280" w:after="290" w:line="377" w:lineRule="auto"/>
        <w:outlineLvl w:val="2"/>
        <w:rPr>
          <w:b/>
          <w:sz w:val="24"/>
        </w:rPr>
      </w:pPr>
      <w:r>
        <w:br w:type="page"/>
      </w:r>
      <w:bookmarkStart w:id="160" w:name="_Toc31919"/>
      <w:r>
        <w:rPr>
          <w:rFonts w:hint="eastAsia"/>
          <w:b/>
          <w:sz w:val="24"/>
        </w:rPr>
        <w:t>开标一览表</w:t>
      </w:r>
      <w:r>
        <w:rPr>
          <w:b/>
          <w:sz w:val="24"/>
        </w:rPr>
        <w:t>(报价表)</w:t>
      </w:r>
      <w:bookmarkEnd w:id="160"/>
    </w:p>
    <w:p>
      <w:pPr>
        <w:widowControl w:val="0"/>
        <w:shd w:val="clear" w:color="auto" w:fill="auto"/>
        <w:tabs>
          <w:tab w:val="clear" w:pos="426"/>
        </w:tabs>
        <w:adjustRightInd/>
        <w:snapToGrid/>
        <w:spacing w:line="300" w:lineRule="auto"/>
        <w:jc w:val="center"/>
        <w:rPr>
          <w:rFonts w:cs="Times New Roman"/>
          <w:bCs/>
          <w:kern w:val="2"/>
          <w:sz w:val="32"/>
          <w:szCs w:val="32"/>
        </w:rPr>
      </w:pPr>
      <w:bookmarkStart w:id="161" w:name="_Toc480755929"/>
      <w:bookmarkStart w:id="162" w:name="_Toc480756075"/>
      <w:bookmarkStart w:id="163" w:name="_Toc480789479"/>
      <w:bookmarkStart w:id="164" w:name="_Toc480754208"/>
      <w:r>
        <w:rPr>
          <w:rFonts w:hint="eastAsia" w:cs="Times New Roman"/>
          <w:bCs/>
          <w:kern w:val="2"/>
          <w:sz w:val="32"/>
          <w:szCs w:val="32"/>
        </w:rPr>
        <w:t>开标一览表</w:t>
      </w:r>
      <w:r>
        <w:rPr>
          <w:rFonts w:cs="Times New Roman"/>
          <w:bCs/>
          <w:kern w:val="2"/>
          <w:sz w:val="32"/>
          <w:szCs w:val="32"/>
        </w:rPr>
        <w:t>(报价表)</w:t>
      </w:r>
      <w:bookmarkEnd w:id="161"/>
      <w:bookmarkEnd w:id="162"/>
      <w:bookmarkEnd w:id="163"/>
      <w:bookmarkEnd w:id="164"/>
    </w:p>
    <w:p>
      <w:pPr>
        <w:tabs>
          <w:tab w:val="clear" w:pos="426"/>
        </w:tabs>
        <w:jc w:val="left"/>
      </w:pPr>
    </w:p>
    <w:p>
      <w:pPr>
        <w:tabs>
          <w:tab w:val="clear" w:pos="426"/>
        </w:tabs>
        <w:jc w:val="left"/>
        <w:rPr>
          <w:sz w:val="24"/>
          <w:u w:val="single"/>
        </w:rPr>
      </w:pPr>
      <w:r>
        <w:rPr>
          <w:rFonts w:hint="eastAsia"/>
        </w:rPr>
        <w:t>项目名称：</w:t>
      </w:r>
      <w:r>
        <w:rPr>
          <w:u w:val="single"/>
        </w:rPr>
        <w:t>__________________________________________</w:t>
      </w:r>
      <w:r>
        <w:rPr>
          <w:rFonts w:hint="eastAsia"/>
        </w:rPr>
        <w:t>招标项目编号：</w:t>
      </w:r>
      <w:r>
        <w:rPr>
          <w:u w:val="single"/>
        </w:rPr>
        <w:t>_________________________</w:t>
      </w:r>
    </w:p>
    <w:tbl>
      <w:tblPr>
        <w:tblStyle w:val="85"/>
        <w:tblW w:w="9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3"/>
        <w:gridCol w:w="4638"/>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3493" w:type="dxa"/>
            <w:vAlign w:val="center"/>
          </w:tcPr>
          <w:p>
            <w:pPr>
              <w:spacing w:line="240" w:lineRule="auto"/>
              <w:jc w:val="center"/>
            </w:pPr>
            <w:r>
              <w:t>项目名称</w:t>
            </w:r>
          </w:p>
        </w:tc>
        <w:tc>
          <w:tcPr>
            <w:tcW w:w="4638" w:type="dxa"/>
            <w:vAlign w:val="center"/>
          </w:tcPr>
          <w:p>
            <w:pPr>
              <w:spacing w:line="240" w:lineRule="auto"/>
              <w:jc w:val="center"/>
            </w:pPr>
            <w:r>
              <w:rPr>
                <w:rFonts w:hint="eastAsia"/>
              </w:rPr>
              <w:t>投标总价（元）</w:t>
            </w:r>
          </w:p>
        </w:tc>
        <w:tc>
          <w:tcPr>
            <w:tcW w:w="1543" w:type="dxa"/>
            <w:vAlign w:val="center"/>
          </w:tcPr>
          <w:p>
            <w:pPr>
              <w:spacing w:line="240" w:lineRule="auto"/>
              <w:jc w:val="center"/>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2" w:hRule="atLeast"/>
          <w:jc w:val="center"/>
        </w:trPr>
        <w:tc>
          <w:tcPr>
            <w:tcW w:w="3493" w:type="dxa"/>
            <w:vAlign w:val="center"/>
          </w:tcPr>
          <w:p>
            <w:pPr>
              <w:spacing w:line="240" w:lineRule="auto"/>
              <w:jc w:val="left"/>
            </w:pPr>
          </w:p>
        </w:tc>
        <w:tc>
          <w:tcPr>
            <w:tcW w:w="4638" w:type="dxa"/>
            <w:vAlign w:val="center"/>
          </w:tcPr>
          <w:p>
            <w:pPr>
              <w:spacing w:line="240" w:lineRule="auto"/>
              <w:jc w:val="left"/>
            </w:pPr>
            <w:r>
              <w:rPr>
                <w:rFonts w:hint="eastAsia"/>
              </w:rPr>
              <w:t>小写：</w:t>
            </w:r>
          </w:p>
          <w:p>
            <w:pPr>
              <w:pStyle w:val="3"/>
              <w:spacing w:before="0" w:after="0"/>
              <w:jc w:val="left"/>
            </w:pPr>
            <w:bookmarkStart w:id="165" w:name="_Toc32584"/>
            <w:r>
              <w:rPr>
                <w:rFonts w:hint="eastAsia"/>
                <w:sz w:val="21"/>
                <w:szCs w:val="24"/>
              </w:rPr>
              <w:t>大写：</w:t>
            </w:r>
            <w:bookmarkEnd w:id="165"/>
          </w:p>
        </w:tc>
        <w:tc>
          <w:tcPr>
            <w:tcW w:w="1543" w:type="dxa"/>
            <w:vAlign w:val="center"/>
          </w:tcPr>
          <w:p>
            <w:pPr>
              <w:spacing w:line="240" w:lineRule="auto"/>
              <w:jc w:val="left"/>
            </w:pPr>
          </w:p>
        </w:tc>
      </w:tr>
    </w:tbl>
    <w:p>
      <w:pPr>
        <w:tabs>
          <w:tab w:val="clear" w:pos="426"/>
        </w:tabs>
        <w:spacing w:line="500" w:lineRule="exact"/>
        <w:rPr>
          <w:spacing w:val="4"/>
        </w:rPr>
      </w:pPr>
    </w:p>
    <w:p>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spacing w:val="4"/>
          <w:u w:val="single"/>
        </w:rPr>
        <w:t>__________________________________________________________</w:t>
      </w:r>
    </w:p>
    <w:p>
      <w:pPr>
        <w:tabs>
          <w:tab w:val="clear" w:pos="426"/>
        </w:tabs>
        <w:spacing w:line="520" w:lineRule="exact"/>
      </w:pPr>
    </w:p>
    <w:p>
      <w:pPr>
        <w:tabs>
          <w:tab w:val="clear" w:pos="426"/>
        </w:tabs>
        <w:spacing w:line="520" w:lineRule="exact"/>
        <w:rPr>
          <w:spacing w:val="4"/>
        </w:rPr>
      </w:pPr>
      <w:r>
        <w:rPr>
          <w:rFonts w:hint="eastAsia"/>
        </w:rPr>
        <w:t>法定代表人或投标人授权代表（签名或盖章）：</w:t>
      </w:r>
      <w:r>
        <w:rPr>
          <w:spacing w:val="4"/>
          <w:u w:val="single"/>
        </w:rPr>
        <w:t>_____________</w:t>
      </w:r>
      <w:r>
        <w:rPr>
          <w:rFonts w:hint="eastAsia"/>
          <w:spacing w:val="4"/>
        </w:rPr>
        <w:t>职务：</w:t>
      </w:r>
      <w:r>
        <w:rPr>
          <w:spacing w:val="4"/>
          <w:u w:val="single"/>
        </w:rPr>
        <w:t>________</w:t>
      </w:r>
      <w:r>
        <w:rPr>
          <w:rFonts w:hint="eastAsia"/>
          <w:spacing w:val="4"/>
        </w:rPr>
        <w:t>日期：</w:t>
      </w:r>
      <w:r>
        <w:rPr>
          <w:spacing w:val="4"/>
          <w:u w:val="single"/>
        </w:rPr>
        <w:t>_________</w:t>
      </w:r>
    </w:p>
    <w:p>
      <w:pPr>
        <w:tabs>
          <w:tab w:val="clear" w:pos="426"/>
        </w:tabs>
        <w:spacing w:line="400" w:lineRule="exact"/>
        <w:rPr>
          <w:b/>
          <w:bCs/>
          <w:szCs w:val="21"/>
        </w:rPr>
      </w:pPr>
      <w:r>
        <w:rPr>
          <w:rFonts w:hint="eastAsia"/>
          <w:b/>
          <w:bCs/>
          <w:szCs w:val="21"/>
        </w:rPr>
        <w:t>备注：</w:t>
      </w:r>
    </w:p>
    <w:p>
      <w:pPr>
        <w:widowControl w:val="0"/>
        <w:numPr>
          <w:ilvl w:val="1"/>
          <w:numId w:val="9"/>
        </w:numPr>
        <w:shd w:val="clear" w:color="auto" w:fill="auto"/>
        <w:tabs>
          <w:tab w:val="clear" w:pos="426"/>
        </w:tabs>
        <w:adjustRightInd/>
        <w:ind w:left="0" w:firstLine="424" w:firstLineChars="201"/>
        <w:rPr>
          <w:b/>
          <w:bCs/>
          <w:szCs w:val="21"/>
        </w:rPr>
      </w:pPr>
      <w:r>
        <w:rPr>
          <w:b/>
        </w:rPr>
        <w:t>此表</w:t>
      </w:r>
      <w:r>
        <w:rPr>
          <w:rFonts w:hint="eastAsia"/>
          <w:b/>
        </w:rPr>
        <w:t>为投标文件的组成部分，</w:t>
      </w:r>
      <w:r>
        <w:rPr>
          <w:b/>
        </w:rPr>
        <w:t>须附在正、副本的投标文件中，并另封装一份于开标信封中</w:t>
      </w:r>
      <w:r>
        <w:rPr>
          <w:rFonts w:hint="eastAsia"/>
          <w:b/>
        </w:rPr>
        <w:t>（信封中须同时提供法定代表人证明书、法定代表人授权委托书、被授权人身份证复印件）。</w:t>
      </w:r>
    </w:p>
    <w:p>
      <w:pPr>
        <w:widowControl w:val="0"/>
        <w:numPr>
          <w:ilvl w:val="1"/>
          <w:numId w:val="9"/>
        </w:numPr>
        <w:shd w:val="clear" w:color="auto" w:fill="auto"/>
        <w:tabs>
          <w:tab w:val="clear" w:pos="426"/>
        </w:tabs>
        <w:adjustRightInd/>
        <w:ind w:left="0" w:firstLine="424" w:firstLineChars="201"/>
        <w:rPr>
          <w:b/>
          <w:bCs/>
          <w:szCs w:val="21"/>
        </w:rPr>
      </w:pPr>
      <w:r>
        <w:rPr>
          <w:rFonts w:hint="eastAsia"/>
          <w:b/>
        </w:rPr>
        <w:t>此表内投标报价为最终价，开标信封及投标文件内不得含有任何对本报价进行修改的其他说明或资料，否则为无效投标</w:t>
      </w:r>
      <w:r>
        <w:rPr>
          <w:rFonts w:hint="eastAsia"/>
          <w:b/>
          <w:bCs/>
          <w:szCs w:val="21"/>
        </w:rPr>
        <w:t>。</w:t>
      </w:r>
    </w:p>
    <w:p>
      <w:pPr>
        <w:widowControl w:val="0"/>
        <w:shd w:val="clear" w:color="auto" w:fill="auto"/>
        <w:tabs>
          <w:tab w:val="clear" w:pos="426"/>
        </w:tabs>
        <w:adjustRightInd/>
        <w:rPr>
          <w:b/>
          <w:bCs/>
          <w:szCs w:val="21"/>
        </w:rPr>
      </w:pPr>
    </w:p>
    <w:p>
      <w:pPr>
        <w:widowControl w:val="0"/>
        <w:shd w:val="clear" w:color="auto" w:fill="auto"/>
        <w:tabs>
          <w:tab w:val="clear" w:pos="426"/>
        </w:tabs>
        <w:adjustRightInd/>
        <w:rPr>
          <w:b/>
          <w:bCs/>
          <w:szCs w:val="21"/>
        </w:rPr>
      </w:pPr>
    </w:p>
    <w:p>
      <w:pPr>
        <w:widowControl w:val="0"/>
        <w:shd w:val="clear" w:color="auto" w:fill="auto"/>
        <w:tabs>
          <w:tab w:val="clear" w:pos="426"/>
        </w:tabs>
        <w:adjustRightInd/>
        <w:rPr>
          <w:b/>
          <w:bCs/>
          <w:szCs w:val="21"/>
        </w:rPr>
      </w:pPr>
    </w:p>
    <w:p>
      <w:pPr>
        <w:widowControl w:val="0"/>
        <w:shd w:val="clear" w:color="auto" w:fill="auto"/>
        <w:tabs>
          <w:tab w:val="clear" w:pos="426"/>
        </w:tabs>
        <w:adjustRightInd/>
        <w:rPr>
          <w:b/>
          <w:bCs/>
          <w:szCs w:val="21"/>
        </w:rPr>
      </w:pPr>
    </w:p>
    <w:p>
      <w:pPr>
        <w:numPr>
          <w:ilvl w:val="0"/>
          <w:numId w:val="6"/>
        </w:numPr>
        <w:adjustRightInd/>
        <w:snapToGrid/>
        <w:spacing w:before="280" w:after="290" w:line="377" w:lineRule="auto"/>
        <w:outlineLvl w:val="2"/>
        <w:rPr>
          <w:b/>
          <w:sz w:val="24"/>
        </w:rPr>
      </w:pPr>
      <w:r>
        <w:rPr>
          <w:b/>
        </w:rPr>
        <w:br w:type="page"/>
      </w:r>
      <w:bookmarkStart w:id="166" w:name="_Toc19040"/>
      <w:r>
        <w:rPr>
          <w:rFonts w:hint="eastAsia"/>
          <w:b/>
          <w:sz w:val="24"/>
        </w:rPr>
        <w:t>投标分项报价表</w:t>
      </w:r>
      <w:bookmarkEnd w:id="166"/>
    </w:p>
    <w:p>
      <w:pPr>
        <w:widowControl w:val="0"/>
        <w:shd w:val="clear" w:color="auto" w:fill="auto"/>
        <w:tabs>
          <w:tab w:val="clear" w:pos="426"/>
        </w:tabs>
        <w:adjustRightInd/>
        <w:snapToGrid/>
        <w:spacing w:line="300" w:lineRule="auto"/>
        <w:jc w:val="center"/>
        <w:rPr>
          <w:rFonts w:cs="Times New Roman"/>
          <w:b/>
          <w:bCs/>
          <w:kern w:val="2"/>
          <w:sz w:val="28"/>
          <w:szCs w:val="28"/>
        </w:rPr>
      </w:pPr>
      <w:r>
        <w:rPr>
          <w:rFonts w:hint="eastAsia" w:cs="Times New Roman"/>
          <w:b/>
          <w:bCs/>
          <w:kern w:val="2"/>
          <w:sz w:val="28"/>
          <w:szCs w:val="28"/>
        </w:rPr>
        <w:t>①项目报价表</w:t>
      </w:r>
    </w:p>
    <w:p>
      <w:pPr>
        <w:tabs>
          <w:tab w:val="clear" w:pos="426"/>
        </w:tabs>
        <w:wordWrap w:val="0"/>
      </w:pPr>
      <w:r>
        <w:rPr>
          <w:rFonts w:hint="eastAsia"/>
        </w:rPr>
        <w:t>项目名称：</w:t>
      </w:r>
      <w:r>
        <w:rPr>
          <w:u w:val="single"/>
        </w:rPr>
        <w:t>_____________________________________</w:t>
      </w:r>
      <w:r>
        <w:rPr>
          <w:rFonts w:hint="eastAsia"/>
        </w:rPr>
        <w:t>招标项目编号：</w:t>
      </w:r>
      <w:r>
        <w:rPr>
          <w:rFonts w:ascii="ˎ̥" w:hAnsi="ˎ̥"/>
          <w:sz w:val="18"/>
          <w:szCs w:val="18"/>
          <w:u w:val="single"/>
        </w:rPr>
        <w:t>________________________________</w:t>
      </w:r>
    </w:p>
    <w:tbl>
      <w:tblPr>
        <w:tblStyle w:val="85"/>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47"/>
        <w:gridCol w:w="1417"/>
        <w:gridCol w:w="851"/>
        <w:gridCol w:w="992"/>
        <w:gridCol w:w="709"/>
        <w:gridCol w:w="737"/>
        <w:gridCol w:w="822"/>
        <w:gridCol w:w="709"/>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szCs w:val="21"/>
              </w:rPr>
            </w:pPr>
            <w:r>
              <w:rPr>
                <w:rFonts w:hint="eastAsia"/>
                <w:szCs w:val="21"/>
              </w:rPr>
              <w:t>序号</w:t>
            </w:r>
          </w:p>
        </w:tc>
        <w:tc>
          <w:tcPr>
            <w:tcW w:w="1347" w:type="dxa"/>
            <w:vAlign w:val="center"/>
          </w:tcPr>
          <w:p>
            <w:pPr>
              <w:spacing w:line="240" w:lineRule="auto"/>
              <w:jc w:val="center"/>
              <w:rPr>
                <w:szCs w:val="21"/>
              </w:rPr>
            </w:pPr>
            <w:r>
              <w:rPr>
                <w:rFonts w:hint="eastAsia"/>
                <w:szCs w:val="21"/>
              </w:rPr>
              <w:t>货物名称</w:t>
            </w:r>
          </w:p>
        </w:tc>
        <w:tc>
          <w:tcPr>
            <w:tcW w:w="1417" w:type="dxa"/>
            <w:vAlign w:val="center"/>
          </w:tcPr>
          <w:p>
            <w:pPr>
              <w:spacing w:line="240" w:lineRule="auto"/>
              <w:jc w:val="center"/>
              <w:rPr>
                <w:szCs w:val="21"/>
              </w:rPr>
            </w:pPr>
            <w:r>
              <w:rPr>
                <w:rFonts w:hint="eastAsia"/>
                <w:szCs w:val="21"/>
              </w:rPr>
              <w:t>规格</w:t>
            </w:r>
            <w:r>
              <w:rPr>
                <w:szCs w:val="21"/>
              </w:rPr>
              <w:t>/型号</w:t>
            </w:r>
          </w:p>
        </w:tc>
        <w:tc>
          <w:tcPr>
            <w:tcW w:w="851" w:type="dxa"/>
            <w:vAlign w:val="center"/>
          </w:tcPr>
          <w:p>
            <w:pPr>
              <w:spacing w:line="240" w:lineRule="auto"/>
              <w:jc w:val="center"/>
              <w:rPr>
                <w:b/>
                <w:szCs w:val="21"/>
              </w:rPr>
            </w:pPr>
            <w:r>
              <w:rPr>
                <w:rFonts w:hint="eastAsia"/>
                <w:b/>
                <w:szCs w:val="21"/>
              </w:rPr>
              <w:t>原产地</w:t>
            </w:r>
          </w:p>
        </w:tc>
        <w:tc>
          <w:tcPr>
            <w:tcW w:w="992" w:type="dxa"/>
            <w:vAlign w:val="center"/>
          </w:tcPr>
          <w:p>
            <w:pPr>
              <w:spacing w:line="240" w:lineRule="auto"/>
              <w:jc w:val="center"/>
              <w:rPr>
                <w:szCs w:val="21"/>
              </w:rPr>
            </w:pPr>
            <w:r>
              <w:rPr>
                <w:rFonts w:hint="eastAsia"/>
                <w:szCs w:val="21"/>
              </w:rPr>
              <w:t>制造商名称</w:t>
            </w:r>
          </w:p>
        </w:tc>
        <w:tc>
          <w:tcPr>
            <w:tcW w:w="709" w:type="dxa"/>
            <w:vAlign w:val="center"/>
          </w:tcPr>
          <w:p>
            <w:pPr>
              <w:spacing w:line="240" w:lineRule="auto"/>
              <w:jc w:val="center"/>
              <w:rPr>
                <w:szCs w:val="21"/>
              </w:rPr>
            </w:pPr>
            <w:r>
              <w:rPr>
                <w:rFonts w:hint="eastAsia"/>
                <w:szCs w:val="21"/>
              </w:rPr>
              <w:t>数量</w:t>
            </w:r>
          </w:p>
        </w:tc>
        <w:tc>
          <w:tcPr>
            <w:tcW w:w="737" w:type="dxa"/>
            <w:vAlign w:val="center"/>
          </w:tcPr>
          <w:p>
            <w:pPr>
              <w:spacing w:line="240" w:lineRule="auto"/>
              <w:jc w:val="center"/>
              <w:rPr>
                <w:szCs w:val="21"/>
              </w:rPr>
            </w:pPr>
            <w:r>
              <w:rPr>
                <w:rFonts w:hint="eastAsia"/>
                <w:szCs w:val="21"/>
              </w:rPr>
              <w:t>单位</w:t>
            </w:r>
          </w:p>
        </w:tc>
        <w:tc>
          <w:tcPr>
            <w:tcW w:w="822" w:type="dxa"/>
            <w:vAlign w:val="center"/>
          </w:tcPr>
          <w:p>
            <w:pPr>
              <w:spacing w:line="240" w:lineRule="auto"/>
              <w:jc w:val="center"/>
              <w:rPr>
                <w:szCs w:val="21"/>
              </w:rPr>
            </w:pPr>
            <w:r>
              <w:rPr>
                <w:rFonts w:hint="eastAsia"/>
                <w:szCs w:val="21"/>
              </w:rPr>
              <w:t>是否核心产品</w:t>
            </w:r>
          </w:p>
        </w:tc>
        <w:tc>
          <w:tcPr>
            <w:tcW w:w="709" w:type="dxa"/>
            <w:vAlign w:val="center"/>
          </w:tcPr>
          <w:p>
            <w:pPr>
              <w:spacing w:line="240" w:lineRule="auto"/>
              <w:jc w:val="center"/>
              <w:rPr>
                <w:szCs w:val="21"/>
              </w:rPr>
            </w:pPr>
            <w:r>
              <w:rPr>
                <w:rFonts w:hint="eastAsia"/>
                <w:szCs w:val="21"/>
              </w:rPr>
              <w:t>单价</w:t>
            </w:r>
            <w:r>
              <w:rPr>
                <w:szCs w:val="21"/>
              </w:rPr>
              <w:t>(元)</w:t>
            </w:r>
          </w:p>
        </w:tc>
        <w:tc>
          <w:tcPr>
            <w:tcW w:w="928" w:type="dxa"/>
            <w:vAlign w:val="center"/>
          </w:tcPr>
          <w:p>
            <w:pPr>
              <w:spacing w:line="240" w:lineRule="auto"/>
              <w:jc w:val="center"/>
              <w:rPr>
                <w:szCs w:val="21"/>
              </w:rPr>
            </w:pPr>
            <w:r>
              <w:rPr>
                <w:rFonts w:hint="eastAsia"/>
                <w:szCs w:val="21"/>
              </w:rPr>
              <w:t>分项合价</w:t>
            </w:r>
            <w:r>
              <w:rPr>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sz w:val="24"/>
              </w:rPr>
            </w:pPr>
          </w:p>
        </w:tc>
        <w:tc>
          <w:tcPr>
            <w:tcW w:w="1347" w:type="dxa"/>
            <w:vAlign w:val="center"/>
          </w:tcPr>
          <w:p>
            <w:pPr>
              <w:spacing w:line="240" w:lineRule="auto"/>
              <w:jc w:val="center"/>
              <w:rPr>
                <w:sz w:val="24"/>
              </w:rPr>
            </w:pPr>
          </w:p>
        </w:tc>
        <w:tc>
          <w:tcPr>
            <w:tcW w:w="1417" w:type="dxa"/>
            <w:vAlign w:val="center"/>
          </w:tcPr>
          <w:p>
            <w:pPr>
              <w:spacing w:line="240" w:lineRule="auto"/>
              <w:jc w:val="center"/>
              <w:rPr>
                <w:sz w:val="24"/>
              </w:rPr>
            </w:pPr>
          </w:p>
        </w:tc>
        <w:tc>
          <w:tcPr>
            <w:tcW w:w="851" w:type="dxa"/>
            <w:vAlign w:val="center"/>
          </w:tcPr>
          <w:p>
            <w:pPr>
              <w:spacing w:line="240" w:lineRule="auto"/>
              <w:jc w:val="center"/>
              <w:rPr>
                <w:sz w:val="24"/>
              </w:rPr>
            </w:pPr>
          </w:p>
        </w:tc>
        <w:tc>
          <w:tcPr>
            <w:tcW w:w="992" w:type="dxa"/>
            <w:vAlign w:val="center"/>
          </w:tcPr>
          <w:p>
            <w:pPr>
              <w:spacing w:line="240" w:lineRule="auto"/>
              <w:jc w:val="center"/>
              <w:rPr>
                <w:sz w:val="24"/>
              </w:rPr>
            </w:pPr>
          </w:p>
        </w:tc>
        <w:tc>
          <w:tcPr>
            <w:tcW w:w="709" w:type="dxa"/>
            <w:vAlign w:val="center"/>
          </w:tcPr>
          <w:p>
            <w:pPr>
              <w:spacing w:line="240" w:lineRule="auto"/>
              <w:jc w:val="center"/>
              <w:rPr>
                <w:sz w:val="24"/>
              </w:rPr>
            </w:pPr>
          </w:p>
        </w:tc>
        <w:tc>
          <w:tcPr>
            <w:tcW w:w="737" w:type="dxa"/>
            <w:vAlign w:val="center"/>
          </w:tcPr>
          <w:p>
            <w:pPr>
              <w:spacing w:line="240" w:lineRule="auto"/>
              <w:jc w:val="center"/>
              <w:rPr>
                <w:sz w:val="24"/>
              </w:rPr>
            </w:pPr>
          </w:p>
        </w:tc>
        <w:tc>
          <w:tcPr>
            <w:tcW w:w="822" w:type="dxa"/>
            <w:vAlign w:val="center"/>
          </w:tcPr>
          <w:p>
            <w:pPr>
              <w:spacing w:line="240" w:lineRule="auto"/>
              <w:jc w:val="center"/>
              <w:rPr>
                <w:sz w:val="24"/>
              </w:rPr>
            </w:pPr>
          </w:p>
        </w:tc>
        <w:tc>
          <w:tcPr>
            <w:tcW w:w="709" w:type="dxa"/>
            <w:vAlign w:val="center"/>
          </w:tcPr>
          <w:p>
            <w:pPr>
              <w:spacing w:line="240" w:lineRule="auto"/>
              <w:jc w:val="center"/>
              <w:rPr>
                <w:sz w:val="24"/>
              </w:rPr>
            </w:pPr>
          </w:p>
        </w:tc>
        <w:tc>
          <w:tcPr>
            <w:tcW w:w="928"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sz w:val="24"/>
              </w:rPr>
            </w:pPr>
          </w:p>
        </w:tc>
        <w:tc>
          <w:tcPr>
            <w:tcW w:w="1347" w:type="dxa"/>
            <w:vAlign w:val="center"/>
          </w:tcPr>
          <w:p>
            <w:pPr>
              <w:spacing w:line="240" w:lineRule="auto"/>
              <w:jc w:val="center"/>
              <w:rPr>
                <w:sz w:val="24"/>
              </w:rPr>
            </w:pPr>
          </w:p>
        </w:tc>
        <w:tc>
          <w:tcPr>
            <w:tcW w:w="1417" w:type="dxa"/>
            <w:vAlign w:val="center"/>
          </w:tcPr>
          <w:p>
            <w:pPr>
              <w:spacing w:line="240" w:lineRule="auto"/>
              <w:jc w:val="center"/>
              <w:rPr>
                <w:sz w:val="24"/>
              </w:rPr>
            </w:pPr>
          </w:p>
        </w:tc>
        <w:tc>
          <w:tcPr>
            <w:tcW w:w="851" w:type="dxa"/>
            <w:vAlign w:val="center"/>
          </w:tcPr>
          <w:p>
            <w:pPr>
              <w:spacing w:line="240" w:lineRule="auto"/>
              <w:jc w:val="center"/>
              <w:rPr>
                <w:sz w:val="24"/>
              </w:rPr>
            </w:pPr>
          </w:p>
        </w:tc>
        <w:tc>
          <w:tcPr>
            <w:tcW w:w="992" w:type="dxa"/>
            <w:vAlign w:val="center"/>
          </w:tcPr>
          <w:p>
            <w:pPr>
              <w:spacing w:line="240" w:lineRule="auto"/>
              <w:jc w:val="center"/>
              <w:rPr>
                <w:sz w:val="24"/>
              </w:rPr>
            </w:pPr>
          </w:p>
        </w:tc>
        <w:tc>
          <w:tcPr>
            <w:tcW w:w="709" w:type="dxa"/>
            <w:vAlign w:val="center"/>
          </w:tcPr>
          <w:p>
            <w:pPr>
              <w:spacing w:line="240" w:lineRule="auto"/>
              <w:jc w:val="center"/>
              <w:rPr>
                <w:sz w:val="24"/>
              </w:rPr>
            </w:pPr>
          </w:p>
        </w:tc>
        <w:tc>
          <w:tcPr>
            <w:tcW w:w="737" w:type="dxa"/>
            <w:vAlign w:val="center"/>
          </w:tcPr>
          <w:p>
            <w:pPr>
              <w:spacing w:line="240" w:lineRule="auto"/>
              <w:jc w:val="center"/>
              <w:rPr>
                <w:sz w:val="24"/>
              </w:rPr>
            </w:pPr>
          </w:p>
        </w:tc>
        <w:tc>
          <w:tcPr>
            <w:tcW w:w="822" w:type="dxa"/>
            <w:vAlign w:val="center"/>
          </w:tcPr>
          <w:p>
            <w:pPr>
              <w:spacing w:line="240" w:lineRule="auto"/>
              <w:jc w:val="center"/>
              <w:rPr>
                <w:sz w:val="24"/>
              </w:rPr>
            </w:pPr>
          </w:p>
        </w:tc>
        <w:tc>
          <w:tcPr>
            <w:tcW w:w="709" w:type="dxa"/>
            <w:vAlign w:val="center"/>
          </w:tcPr>
          <w:p>
            <w:pPr>
              <w:spacing w:line="240" w:lineRule="auto"/>
              <w:jc w:val="center"/>
              <w:rPr>
                <w:sz w:val="24"/>
              </w:rPr>
            </w:pPr>
          </w:p>
        </w:tc>
        <w:tc>
          <w:tcPr>
            <w:tcW w:w="928"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sz w:val="24"/>
              </w:rPr>
            </w:pPr>
          </w:p>
        </w:tc>
        <w:tc>
          <w:tcPr>
            <w:tcW w:w="1347" w:type="dxa"/>
            <w:vAlign w:val="center"/>
          </w:tcPr>
          <w:p>
            <w:pPr>
              <w:spacing w:line="240" w:lineRule="auto"/>
              <w:jc w:val="center"/>
              <w:rPr>
                <w:sz w:val="24"/>
              </w:rPr>
            </w:pPr>
          </w:p>
        </w:tc>
        <w:tc>
          <w:tcPr>
            <w:tcW w:w="1417" w:type="dxa"/>
            <w:vAlign w:val="center"/>
          </w:tcPr>
          <w:p>
            <w:pPr>
              <w:spacing w:line="240" w:lineRule="auto"/>
              <w:jc w:val="center"/>
              <w:rPr>
                <w:sz w:val="24"/>
              </w:rPr>
            </w:pPr>
          </w:p>
        </w:tc>
        <w:tc>
          <w:tcPr>
            <w:tcW w:w="851" w:type="dxa"/>
            <w:vAlign w:val="center"/>
          </w:tcPr>
          <w:p>
            <w:pPr>
              <w:spacing w:line="240" w:lineRule="auto"/>
              <w:jc w:val="center"/>
              <w:rPr>
                <w:sz w:val="24"/>
              </w:rPr>
            </w:pPr>
          </w:p>
        </w:tc>
        <w:tc>
          <w:tcPr>
            <w:tcW w:w="992" w:type="dxa"/>
            <w:vAlign w:val="center"/>
          </w:tcPr>
          <w:p>
            <w:pPr>
              <w:spacing w:line="240" w:lineRule="auto"/>
              <w:jc w:val="center"/>
              <w:rPr>
                <w:sz w:val="24"/>
              </w:rPr>
            </w:pPr>
          </w:p>
        </w:tc>
        <w:tc>
          <w:tcPr>
            <w:tcW w:w="709" w:type="dxa"/>
            <w:vAlign w:val="center"/>
          </w:tcPr>
          <w:p>
            <w:pPr>
              <w:spacing w:line="240" w:lineRule="auto"/>
              <w:jc w:val="center"/>
              <w:rPr>
                <w:sz w:val="24"/>
              </w:rPr>
            </w:pPr>
          </w:p>
        </w:tc>
        <w:tc>
          <w:tcPr>
            <w:tcW w:w="737" w:type="dxa"/>
            <w:vAlign w:val="center"/>
          </w:tcPr>
          <w:p>
            <w:pPr>
              <w:spacing w:line="240" w:lineRule="auto"/>
              <w:jc w:val="center"/>
              <w:rPr>
                <w:sz w:val="24"/>
              </w:rPr>
            </w:pPr>
          </w:p>
        </w:tc>
        <w:tc>
          <w:tcPr>
            <w:tcW w:w="822" w:type="dxa"/>
            <w:vAlign w:val="center"/>
          </w:tcPr>
          <w:p>
            <w:pPr>
              <w:spacing w:line="240" w:lineRule="auto"/>
              <w:jc w:val="center"/>
              <w:rPr>
                <w:sz w:val="24"/>
              </w:rPr>
            </w:pPr>
          </w:p>
        </w:tc>
        <w:tc>
          <w:tcPr>
            <w:tcW w:w="709" w:type="dxa"/>
            <w:vAlign w:val="center"/>
          </w:tcPr>
          <w:p>
            <w:pPr>
              <w:spacing w:line="240" w:lineRule="auto"/>
              <w:jc w:val="center"/>
              <w:rPr>
                <w:sz w:val="24"/>
              </w:rPr>
            </w:pPr>
          </w:p>
        </w:tc>
        <w:tc>
          <w:tcPr>
            <w:tcW w:w="928"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0" w:type="dxa"/>
            <w:vAlign w:val="center"/>
          </w:tcPr>
          <w:p>
            <w:pPr>
              <w:spacing w:line="240" w:lineRule="auto"/>
              <w:jc w:val="center"/>
              <w:rPr>
                <w:sz w:val="24"/>
              </w:rPr>
            </w:pPr>
          </w:p>
        </w:tc>
        <w:tc>
          <w:tcPr>
            <w:tcW w:w="1347" w:type="dxa"/>
            <w:vAlign w:val="center"/>
          </w:tcPr>
          <w:p>
            <w:pPr>
              <w:spacing w:line="240" w:lineRule="auto"/>
              <w:jc w:val="center"/>
              <w:rPr>
                <w:sz w:val="24"/>
              </w:rPr>
            </w:pPr>
          </w:p>
        </w:tc>
        <w:tc>
          <w:tcPr>
            <w:tcW w:w="1417" w:type="dxa"/>
            <w:vAlign w:val="center"/>
          </w:tcPr>
          <w:p>
            <w:pPr>
              <w:spacing w:line="240" w:lineRule="auto"/>
              <w:jc w:val="center"/>
              <w:rPr>
                <w:sz w:val="24"/>
              </w:rPr>
            </w:pPr>
          </w:p>
        </w:tc>
        <w:tc>
          <w:tcPr>
            <w:tcW w:w="851" w:type="dxa"/>
            <w:vAlign w:val="center"/>
          </w:tcPr>
          <w:p>
            <w:pPr>
              <w:spacing w:line="240" w:lineRule="auto"/>
              <w:jc w:val="center"/>
              <w:rPr>
                <w:sz w:val="24"/>
              </w:rPr>
            </w:pPr>
          </w:p>
        </w:tc>
        <w:tc>
          <w:tcPr>
            <w:tcW w:w="992" w:type="dxa"/>
            <w:vAlign w:val="center"/>
          </w:tcPr>
          <w:p>
            <w:pPr>
              <w:spacing w:line="240" w:lineRule="auto"/>
              <w:jc w:val="center"/>
              <w:rPr>
                <w:sz w:val="24"/>
              </w:rPr>
            </w:pPr>
          </w:p>
        </w:tc>
        <w:tc>
          <w:tcPr>
            <w:tcW w:w="709" w:type="dxa"/>
            <w:vAlign w:val="center"/>
          </w:tcPr>
          <w:p>
            <w:pPr>
              <w:spacing w:line="240" w:lineRule="auto"/>
              <w:jc w:val="center"/>
              <w:rPr>
                <w:sz w:val="24"/>
              </w:rPr>
            </w:pPr>
          </w:p>
        </w:tc>
        <w:tc>
          <w:tcPr>
            <w:tcW w:w="737" w:type="dxa"/>
            <w:vAlign w:val="center"/>
          </w:tcPr>
          <w:p>
            <w:pPr>
              <w:spacing w:line="240" w:lineRule="auto"/>
              <w:jc w:val="center"/>
              <w:rPr>
                <w:sz w:val="24"/>
              </w:rPr>
            </w:pPr>
          </w:p>
        </w:tc>
        <w:tc>
          <w:tcPr>
            <w:tcW w:w="822" w:type="dxa"/>
            <w:vAlign w:val="center"/>
          </w:tcPr>
          <w:p>
            <w:pPr>
              <w:spacing w:line="240" w:lineRule="auto"/>
              <w:jc w:val="center"/>
              <w:rPr>
                <w:sz w:val="24"/>
              </w:rPr>
            </w:pPr>
          </w:p>
        </w:tc>
        <w:tc>
          <w:tcPr>
            <w:tcW w:w="709" w:type="dxa"/>
            <w:vAlign w:val="center"/>
          </w:tcPr>
          <w:p>
            <w:pPr>
              <w:spacing w:line="240" w:lineRule="auto"/>
              <w:jc w:val="center"/>
              <w:rPr>
                <w:sz w:val="24"/>
              </w:rPr>
            </w:pPr>
          </w:p>
        </w:tc>
        <w:tc>
          <w:tcPr>
            <w:tcW w:w="928"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sz w:val="24"/>
              </w:rPr>
            </w:pPr>
          </w:p>
        </w:tc>
        <w:tc>
          <w:tcPr>
            <w:tcW w:w="1347" w:type="dxa"/>
            <w:vAlign w:val="center"/>
          </w:tcPr>
          <w:p>
            <w:pPr>
              <w:spacing w:line="240" w:lineRule="auto"/>
              <w:jc w:val="center"/>
              <w:rPr>
                <w:sz w:val="24"/>
              </w:rPr>
            </w:pPr>
          </w:p>
        </w:tc>
        <w:tc>
          <w:tcPr>
            <w:tcW w:w="1417" w:type="dxa"/>
            <w:vAlign w:val="center"/>
          </w:tcPr>
          <w:p>
            <w:pPr>
              <w:spacing w:line="240" w:lineRule="auto"/>
              <w:jc w:val="center"/>
              <w:rPr>
                <w:sz w:val="24"/>
              </w:rPr>
            </w:pPr>
          </w:p>
        </w:tc>
        <w:tc>
          <w:tcPr>
            <w:tcW w:w="851" w:type="dxa"/>
            <w:vAlign w:val="center"/>
          </w:tcPr>
          <w:p>
            <w:pPr>
              <w:spacing w:line="240" w:lineRule="auto"/>
              <w:jc w:val="center"/>
              <w:rPr>
                <w:sz w:val="24"/>
              </w:rPr>
            </w:pPr>
          </w:p>
        </w:tc>
        <w:tc>
          <w:tcPr>
            <w:tcW w:w="992" w:type="dxa"/>
            <w:vAlign w:val="center"/>
          </w:tcPr>
          <w:p>
            <w:pPr>
              <w:spacing w:line="240" w:lineRule="auto"/>
              <w:jc w:val="center"/>
              <w:rPr>
                <w:sz w:val="24"/>
              </w:rPr>
            </w:pPr>
          </w:p>
        </w:tc>
        <w:tc>
          <w:tcPr>
            <w:tcW w:w="709" w:type="dxa"/>
            <w:vAlign w:val="center"/>
          </w:tcPr>
          <w:p>
            <w:pPr>
              <w:spacing w:line="240" w:lineRule="auto"/>
              <w:jc w:val="center"/>
              <w:rPr>
                <w:sz w:val="24"/>
              </w:rPr>
            </w:pPr>
          </w:p>
        </w:tc>
        <w:tc>
          <w:tcPr>
            <w:tcW w:w="737" w:type="dxa"/>
            <w:vAlign w:val="center"/>
          </w:tcPr>
          <w:p>
            <w:pPr>
              <w:spacing w:line="240" w:lineRule="auto"/>
              <w:jc w:val="center"/>
              <w:rPr>
                <w:sz w:val="24"/>
              </w:rPr>
            </w:pPr>
          </w:p>
        </w:tc>
        <w:tc>
          <w:tcPr>
            <w:tcW w:w="822" w:type="dxa"/>
            <w:vAlign w:val="center"/>
          </w:tcPr>
          <w:p>
            <w:pPr>
              <w:spacing w:line="240" w:lineRule="auto"/>
              <w:jc w:val="center"/>
              <w:rPr>
                <w:sz w:val="24"/>
              </w:rPr>
            </w:pPr>
          </w:p>
        </w:tc>
        <w:tc>
          <w:tcPr>
            <w:tcW w:w="709" w:type="dxa"/>
            <w:vAlign w:val="center"/>
          </w:tcPr>
          <w:p>
            <w:pPr>
              <w:spacing w:line="240" w:lineRule="auto"/>
              <w:jc w:val="center"/>
              <w:rPr>
                <w:sz w:val="24"/>
              </w:rPr>
            </w:pPr>
          </w:p>
        </w:tc>
        <w:tc>
          <w:tcPr>
            <w:tcW w:w="928"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4" w:type="dxa"/>
            <w:gridSpan w:val="9"/>
            <w:vAlign w:val="center"/>
          </w:tcPr>
          <w:p>
            <w:pPr>
              <w:spacing w:line="240" w:lineRule="auto"/>
              <w:jc w:val="left"/>
              <w:rPr>
                <w:sz w:val="24"/>
              </w:rPr>
            </w:pPr>
            <w:r>
              <w:rPr>
                <w:rFonts w:hint="eastAsia"/>
                <w:sz w:val="24"/>
              </w:rPr>
              <w:t>合计（即：投标总价；币种：人民币；单位：元）：</w:t>
            </w:r>
            <w:r>
              <w:rPr>
                <w:sz w:val="24"/>
              </w:rPr>
              <w:t xml:space="preserve"> </w:t>
            </w:r>
            <w:r>
              <w:rPr>
                <w:rFonts w:hint="eastAsia"/>
                <w:sz w:val="24"/>
              </w:rPr>
              <w:t>大写：</w:t>
            </w:r>
          </w:p>
        </w:tc>
        <w:tc>
          <w:tcPr>
            <w:tcW w:w="928" w:type="dxa"/>
            <w:vAlign w:val="center"/>
          </w:tcPr>
          <w:p>
            <w:pPr>
              <w:spacing w:line="240" w:lineRule="auto"/>
              <w:jc w:val="center"/>
              <w:rPr>
                <w:sz w:val="24"/>
              </w:rPr>
            </w:pPr>
          </w:p>
        </w:tc>
      </w:tr>
    </w:tbl>
    <w:p>
      <w:pPr>
        <w:spacing w:line="240" w:lineRule="auto"/>
        <w:rPr>
          <w:b/>
          <w:sz w:val="24"/>
        </w:rPr>
      </w:pPr>
      <w:r>
        <w:rPr>
          <w:rFonts w:hint="eastAsia"/>
          <w:b/>
          <w:sz w:val="24"/>
        </w:rPr>
        <w:t>备注：</w:t>
      </w:r>
    </w:p>
    <w:p>
      <w:pPr>
        <w:spacing w:line="240" w:lineRule="auto"/>
        <w:ind w:firstLine="424" w:firstLineChars="176"/>
        <w:rPr>
          <w:b/>
          <w:sz w:val="24"/>
        </w:rPr>
      </w:pPr>
      <w:r>
        <w:rPr>
          <w:b/>
          <w:sz w:val="24"/>
        </w:rPr>
        <w:t>1.请根据“第三章 项目需求” “</w:t>
      </w:r>
      <w:r>
        <w:rPr>
          <w:rFonts w:hint="eastAsia"/>
          <w:b/>
          <w:sz w:val="24"/>
        </w:rPr>
        <w:t>一</w:t>
      </w:r>
      <w:r>
        <w:rPr>
          <w:b/>
          <w:sz w:val="24"/>
        </w:rPr>
        <w:t>、货物清单</w:t>
      </w:r>
      <w:r>
        <w:rPr>
          <w:rFonts w:hint="eastAsia"/>
          <w:b/>
          <w:sz w:val="24"/>
        </w:rPr>
        <w:t>一览表</w:t>
      </w:r>
      <w:r>
        <w:rPr>
          <w:b/>
          <w:sz w:val="24"/>
        </w:rPr>
        <w:t>”中的“（</w:t>
      </w:r>
      <w:r>
        <w:rPr>
          <w:rFonts w:hint="eastAsia"/>
          <w:b/>
          <w:sz w:val="24"/>
        </w:rPr>
        <w:t>二</w:t>
      </w:r>
      <w:r>
        <w:rPr>
          <w:b/>
          <w:sz w:val="24"/>
        </w:rPr>
        <w:t>）货物清单</w:t>
      </w:r>
      <w:r>
        <w:rPr>
          <w:rFonts w:hint="eastAsia"/>
          <w:b/>
          <w:sz w:val="24"/>
        </w:rPr>
        <w:t>明细</w:t>
      </w:r>
      <w:r>
        <w:rPr>
          <w:b/>
          <w:sz w:val="24"/>
        </w:rPr>
        <w:t>”填写；本表格式不得修改。</w:t>
      </w:r>
    </w:p>
    <w:p>
      <w:pPr>
        <w:spacing w:line="240" w:lineRule="auto"/>
        <w:ind w:firstLine="424" w:firstLineChars="176"/>
        <w:rPr>
          <w:b/>
          <w:sz w:val="24"/>
        </w:rPr>
      </w:pPr>
      <w:r>
        <w:rPr>
          <w:b/>
          <w:sz w:val="24"/>
        </w:rPr>
        <w:t>2.</w:t>
      </w:r>
      <w:r>
        <w:rPr>
          <w:rFonts w:hint="eastAsia"/>
          <w:b/>
          <w:sz w:val="24"/>
        </w:rPr>
        <w:t>所有价格应按“招标文件”中规定的货币单位填写；投标总价应为以上各分项价格之和；投标总价和项目报价表中单个采购预算条目报价均不得超过对应的预算限额，否则将导致无效投标。</w:t>
      </w:r>
    </w:p>
    <w:p>
      <w:pPr>
        <w:spacing w:line="240" w:lineRule="auto"/>
        <w:ind w:firstLine="424" w:firstLineChars="176"/>
        <w:rPr>
          <w:b/>
          <w:sz w:val="24"/>
        </w:rPr>
      </w:pPr>
      <w:r>
        <w:rPr>
          <w:b/>
          <w:sz w:val="24"/>
        </w:rPr>
        <w:t>3.单价、合价和投标总价为包干价，即三者均应包含设备的价款、包装、运输、装卸、安装、调试、技术指导、培训、咨询、服务、保险、税费、检测、验收合格交付使用之前以及技术和售后服务等其他各项有关费用。</w:t>
      </w:r>
    </w:p>
    <w:p>
      <w:pPr>
        <w:spacing w:line="240" w:lineRule="auto"/>
        <w:ind w:firstLine="424" w:firstLineChars="176"/>
        <w:rPr>
          <w:b/>
          <w:sz w:val="24"/>
        </w:rPr>
      </w:pPr>
      <w:r>
        <w:rPr>
          <w:b/>
          <w:sz w:val="24"/>
        </w:rPr>
        <w:t>4.开标一览表的投标总价必须与投标分项报价表的投标总价一致。</w:t>
      </w:r>
    </w:p>
    <w:p>
      <w:pPr>
        <w:spacing w:line="240" w:lineRule="auto"/>
        <w:ind w:firstLine="424" w:firstLineChars="176"/>
        <w:rPr>
          <w:b/>
          <w:sz w:val="24"/>
        </w:rPr>
      </w:pPr>
      <w:r>
        <w:rPr>
          <w:b/>
          <w:sz w:val="24"/>
        </w:rPr>
        <w:t>5.“原产地”是指该产品的实际生产加工地，而非品牌总公司所在地。</w:t>
      </w:r>
    </w:p>
    <w:p>
      <w:pPr>
        <w:spacing w:line="240" w:lineRule="auto"/>
        <w:ind w:firstLine="424" w:firstLineChars="176"/>
        <w:rPr>
          <w:b/>
          <w:sz w:val="24"/>
        </w:rPr>
      </w:pPr>
      <w:r>
        <w:rPr>
          <w:b/>
          <w:sz w:val="24"/>
        </w:rPr>
        <w:t>6.详细填写所投货物的制造商名称；若如所投产品属于定制类的非量产货物或无具体型号的货物，可以不填写型号等信息，但应当标注投标产品为定制产品。</w:t>
      </w:r>
    </w:p>
    <w:p>
      <w:pPr>
        <w:widowControl w:val="0"/>
        <w:shd w:val="clear" w:color="auto" w:fill="auto"/>
        <w:tabs>
          <w:tab w:val="clear" w:pos="426"/>
        </w:tabs>
        <w:adjustRightInd/>
        <w:snapToGrid/>
        <w:spacing w:line="300" w:lineRule="auto"/>
        <w:jc w:val="center"/>
        <w:rPr>
          <w:b/>
          <w:sz w:val="24"/>
        </w:rPr>
      </w:pPr>
    </w:p>
    <w:p>
      <w:pPr>
        <w:widowControl w:val="0"/>
        <w:shd w:val="clear" w:color="auto" w:fill="auto"/>
        <w:tabs>
          <w:tab w:val="clear" w:pos="426"/>
        </w:tabs>
        <w:adjustRightInd/>
        <w:snapToGrid/>
        <w:spacing w:line="300" w:lineRule="auto"/>
        <w:jc w:val="center"/>
        <w:rPr>
          <w:rFonts w:cs="Times New Roman"/>
          <w:b/>
          <w:bCs/>
          <w:kern w:val="2"/>
          <w:sz w:val="28"/>
          <w:szCs w:val="28"/>
        </w:rPr>
      </w:pPr>
      <w:r>
        <w:rPr>
          <w:rFonts w:hint="eastAsia" w:cs="Times New Roman"/>
          <w:b/>
          <w:bCs/>
          <w:kern w:val="2"/>
          <w:sz w:val="28"/>
          <w:szCs w:val="28"/>
        </w:rPr>
        <w:t>②核心产品的品牌情况</w:t>
      </w:r>
    </w:p>
    <w:p>
      <w:pPr>
        <w:widowControl w:val="0"/>
        <w:shd w:val="clear" w:color="auto" w:fill="auto"/>
        <w:tabs>
          <w:tab w:val="clear" w:pos="426"/>
        </w:tabs>
        <w:adjustRightInd/>
        <w:snapToGrid/>
        <w:spacing w:line="300" w:lineRule="auto"/>
        <w:jc w:val="left"/>
        <w:rPr>
          <w:b/>
          <w:sz w:val="24"/>
        </w:rPr>
      </w:pPr>
      <w:r>
        <w:rPr>
          <w:rFonts w:hint="eastAsia"/>
          <w:b/>
          <w:sz w:val="24"/>
        </w:rPr>
        <w:t>我公司所投核心产品的品牌为：</w:t>
      </w:r>
      <w:r>
        <w:rPr>
          <w:rFonts w:hint="eastAsia"/>
          <w:b/>
          <w:sz w:val="24"/>
          <w:u w:val="single"/>
        </w:rPr>
        <w:t xml:space="preserve"> </w:t>
      </w:r>
      <w:r>
        <w:rPr>
          <w:b/>
          <w:sz w:val="24"/>
          <w:u w:val="single"/>
        </w:rPr>
        <w:t xml:space="preserve">            </w:t>
      </w:r>
      <w:r>
        <w:rPr>
          <w:rFonts w:hint="eastAsia"/>
          <w:b/>
          <w:sz w:val="24"/>
        </w:rPr>
        <w:t>。</w:t>
      </w:r>
    </w:p>
    <w:p>
      <w:pPr>
        <w:widowControl w:val="0"/>
        <w:shd w:val="clear" w:color="auto" w:fill="auto"/>
        <w:tabs>
          <w:tab w:val="clear" w:pos="426"/>
        </w:tabs>
        <w:adjustRightInd/>
        <w:snapToGrid/>
        <w:spacing w:line="300" w:lineRule="auto"/>
        <w:jc w:val="left"/>
        <w:rPr>
          <w:b/>
          <w:sz w:val="24"/>
        </w:rPr>
      </w:pPr>
      <w:r>
        <w:rPr>
          <w:rFonts w:hint="eastAsia"/>
          <w:b/>
          <w:sz w:val="24"/>
        </w:rPr>
        <w:t>备注：招标文件未列明核心品牌的，无需填写该项。</w:t>
      </w:r>
    </w:p>
    <w:p>
      <w:pPr>
        <w:widowControl w:val="0"/>
        <w:shd w:val="clear" w:color="auto" w:fill="auto"/>
        <w:tabs>
          <w:tab w:val="clear" w:pos="426"/>
        </w:tabs>
        <w:adjustRightInd/>
        <w:snapToGrid/>
        <w:spacing w:line="300" w:lineRule="auto"/>
        <w:jc w:val="center"/>
        <w:rPr>
          <w:rFonts w:cs="Times New Roman"/>
          <w:b/>
          <w:bCs/>
          <w:kern w:val="2"/>
          <w:sz w:val="32"/>
          <w:szCs w:val="32"/>
        </w:rPr>
      </w:pPr>
    </w:p>
    <w:p>
      <w:pPr>
        <w:widowControl w:val="0"/>
        <w:shd w:val="clear" w:color="auto" w:fill="auto"/>
        <w:tabs>
          <w:tab w:val="clear" w:pos="426"/>
        </w:tabs>
        <w:adjustRightInd/>
        <w:snapToGrid/>
        <w:spacing w:line="300" w:lineRule="auto"/>
        <w:jc w:val="center"/>
        <w:rPr>
          <w:rFonts w:cs="Times New Roman"/>
          <w:b/>
          <w:bCs/>
          <w:kern w:val="2"/>
          <w:sz w:val="28"/>
          <w:szCs w:val="28"/>
        </w:rPr>
      </w:pPr>
      <w:r>
        <w:rPr>
          <w:rFonts w:hint="eastAsia" w:cs="Times New Roman"/>
          <w:b/>
          <w:bCs/>
          <w:kern w:val="2"/>
          <w:sz w:val="28"/>
          <w:szCs w:val="28"/>
        </w:rPr>
        <w:t>③可选配件报价清单（不包括在总报价内）</w:t>
      </w:r>
    </w:p>
    <w:p>
      <w:pPr>
        <w:tabs>
          <w:tab w:val="clear" w:pos="426"/>
        </w:tabs>
        <w:spacing w:line="500" w:lineRule="exact"/>
        <w:rPr>
          <w:b/>
          <w:sz w:val="24"/>
        </w:rPr>
      </w:pPr>
      <w:r>
        <w:rPr>
          <w:rFonts w:hint="eastAsia"/>
          <w:b/>
          <w:sz w:val="24"/>
        </w:rPr>
        <w:t>备注：格式参照《（二）货物项目详细清单报价表》表格，但须提供相应的品牌、规格型号、原产地、单价等详细信息</w:t>
      </w:r>
    </w:p>
    <w:p>
      <w:pPr>
        <w:widowControl w:val="0"/>
        <w:shd w:val="clear" w:color="auto" w:fill="auto"/>
        <w:tabs>
          <w:tab w:val="clear" w:pos="426"/>
        </w:tabs>
        <w:adjustRightInd/>
        <w:snapToGrid/>
        <w:spacing w:line="300" w:lineRule="auto"/>
        <w:jc w:val="center"/>
        <w:rPr>
          <w:rFonts w:cs="Times New Roman"/>
          <w:b/>
          <w:bCs/>
          <w:kern w:val="2"/>
          <w:sz w:val="32"/>
          <w:szCs w:val="32"/>
        </w:rPr>
      </w:pPr>
    </w:p>
    <w:p>
      <w:pPr>
        <w:widowControl w:val="0"/>
        <w:shd w:val="clear" w:color="auto" w:fill="auto"/>
        <w:tabs>
          <w:tab w:val="clear" w:pos="426"/>
        </w:tabs>
        <w:adjustRightInd/>
        <w:snapToGrid/>
        <w:spacing w:line="300" w:lineRule="auto"/>
        <w:jc w:val="center"/>
        <w:rPr>
          <w:rFonts w:cs="Times New Roman"/>
          <w:b/>
          <w:bCs/>
          <w:kern w:val="2"/>
          <w:sz w:val="28"/>
          <w:szCs w:val="28"/>
        </w:rPr>
      </w:pPr>
      <w:r>
        <w:rPr>
          <w:rFonts w:hint="eastAsia" w:cs="Times New Roman"/>
          <w:b/>
          <w:bCs/>
          <w:kern w:val="2"/>
          <w:sz w:val="28"/>
          <w:szCs w:val="28"/>
        </w:rPr>
        <w:t>④供应商认为需要涉及的其他内容报价清单</w:t>
      </w:r>
    </w:p>
    <w:p/>
    <w:p/>
    <w:p>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spacing w:val="4"/>
          <w:u w:val="single"/>
        </w:rPr>
        <w:t>__________________________________________________________</w:t>
      </w:r>
    </w:p>
    <w:p>
      <w:pPr>
        <w:tabs>
          <w:tab w:val="clear" w:pos="426"/>
        </w:tabs>
        <w:spacing w:line="520" w:lineRule="exact"/>
        <w:rPr>
          <w:spacing w:val="4"/>
          <w:u w:val="single"/>
        </w:rPr>
      </w:pPr>
      <w:r>
        <w:rPr>
          <w:rFonts w:hint="eastAsia"/>
        </w:rPr>
        <w:t>法定代表人或投标人授权代表（签名或盖章）：</w:t>
      </w:r>
      <w:r>
        <w:rPr>
          <w:spacing w:val="4"/>
          <w:u w:val="single"/>
        </w:rPr>
        <w:t>______________</w:t>
      </w:r>
      <w:r>
        <w:rPr>
          <w:rFonts w:hint="eastAsia"/>
          <w:spacing w:val="4"/>
        </w:rPr>
        <w:t>职务：</w:t>
      </w:r>
      <w:r>
        <w:rPr>
          <w:spacing w:val="4"/>
          <w:u w:val="single"/>
        </w:rPr>
        <w:t>________</w:t>
      </w:r>
      <w:r>
        <w:rPr>
          <w:rFonts w:hint="eastAsia"/>
          <w:spacing w:val="4"/>
        </w:rPr>
        <w:t>日期：</w:t>
      </w:r>
      <w:r>
        <w:rPr>
          <w:spacing w:val="4"/>
          <w:u w:val="single"/>
        </w:rPr>
        <w:t>_________</w:t>
      </w:r>
    </w:p>
    <w:p>
      <w:pPr>
        <w:shd w:val="clear" w:color="auto" w:fill="auto"/>
        <w:tabs>
          <w:tab w:val="clear" w:pos="426"/>
        </w:tabs>
        <w:adjustRightInd/>
        <w:snapToGrid/>
        <w:spacing w:line="240" w:lineRule="auto"/>
        <w:jc w:val="left"/>
        <w:rPr>
          <w:spacing w:val="4"/>
          <w:u w:val="single"/>
        </w:rPr>
      </w:pPr>
      <w:r>
        <w:rPr>
          <w:spacing w:val="4"/>
          <w:u w:val="single"/>
        </w:rPr>
        <w:br w:type="page"/>
      </w:r>
    </w:p>
    <w:p>
      <w:pPr>
        <w:numPr>
          <w:ilvl w:val="0"/>
          <w:numId w:val="6"/>
        </w:numPr>
        <w:adjustRightInd/>
        <w:snapToGrid/>
        <w:spacing w:before="280" w:after="290" w:line="377" w:lineRule="auto"/>
        <w:outlineLvl w:val="2"/>
        <w:rPr>
          <w:b/>
          <w:sz w:val="24"/>
        </w:rPr>
      </w:pPr>
      <w:bookmarkStart w:id="167" w:name="_Toc30175"/>
      <w:r>
        <w:rPr>
          <w:rFonts w:hint="eastAsia"/>
          <w:b/>
          <w:sz w:val="24"/>
        </w:rPr>
        <w:t>货物说明一览表</w:t>
      </w:r>
      <w:bookmarkEnd w:id="167"/>
    </w:p>
    <w:p>
      <w:pPr>
        <w:widowControl w:val="0"/>
        <w:shd w:val="clear" w:color="auto" w:fill="auto"/>
        <w:tabs>
          <w:tab w:val="clear" w:pos="426"/>
        </w:tabs>
        <w:adjustRightInd/>
        <w:snapToGrid/>
        <w:spacing w:line="300" w:lineRule="auto"/>
        <w:jc w:val="center"/>
        <w:rPr>
          <w:rFonts w:cs="Times New Roman"/>
          <w:bCs/>
          <w:kern w:val="2"/>
          <w:sz w:val="32"/>
          <w:szCs w:val="32"/>
        </w:rPr>
      </w:pPr>
      <w:bookmarkStart w:id="168" w:name="_Toc480789483"/>
      <w:bookmarkStart w:id="169" w:name="_Toc480756079"/>
      <w:bookmarkStart w:id="170" w:name="_Toc480755933"/>
      <w:bookmarkStart w:id="171" w:name="_Toc480754212"/>
      <w:r>
        <w:rPr>
          <w:rFonts w:hint="eastAsia" w:cs="Times New Roman"/>
          <w:bCs/>
          <w:kern w:val="2"/>
          <w:sz w:val="32"/>
          <w:szCs w:val="32"/>
        </w:rPr>
        <w:t>货物说明一览表</w:t>
      </w:r>
      <w:bookmarkEnd w:id="168"/>
      <w:bookmarkEnd w:id="169"/>
      <w:bookmarkEnd w:id="170"/>
      <w:bookmarkEnd w:id="171"/>
    </w:p>
    <w:p>
      <w:pPr>
        <w:tabs>
          <w:tab w:val="clear" w:pos="426"/>
        </w:tabs>
        <w:rPr>
          <w:rFonts w:cs="Arial"/>
          <w:bCs/>
          <w:szCs w:val="21"/>
        </w:rPr>
      </w:pPr>
    </w:p>
    <w:p>
      <w:pPr>
        <w:tabs>
          <w:tab w:val="clear" w:pos="426"/>
        </w:tabs>
        <w:rPr>
          <w:rFonts w:cs="Arial"/>
          <w:bCs/>
          <w:szCs w:val="21"/>
        </w:rPr>
      </w:pPr>
      <w:r>
        <w:rPr>
          <w:rFonts w:hint="eastAsia" w:cs="Arial"/>
          <w:bCs/>
          <w:szCs w:val="21"/>
        </w:rPr>
        <w:t>项目名称：</w:t>
      </w:r>
      <w:r>
        <w:rPr>
          <w:rFonts w:cs="Arial"/>
          <w:bCs/>
          <w:szCs w:val="21"/>
          <w:u w:val="single"/>
        </w:rPr>
        <w:t>_________________________________</w:t>
      </w:r>
      <w:r>
        <w:rPr>
          <w:rFonts w:hint="eastAsia" w:cs="Arial"/>
          <w:bCs/>
          <w:szCs w:val="21"/>
        </w:rPr>
        <w:t>招标项目编号：</w:t>
      </w:r>
      <w:r>
        <w:rPr>
          <w:rFonts w:cs="Arial"/>
          <w:bCs/>
          <w:szCs w:val="21"/>
          <w:u w:val="single"/>
        </w:rPr>
        <w:t>______________</w:t>
      </w:r>
      <w:r>
        <w:rPr>
          <w:rFonts w:hint="eastAsia" w:cs="Arial"/>
          <w:bCs/>
          <w:szCs w:val="21"/>
        </w:rPr>
        <w:t>包号：</w:t>
      </w:r>
      <w:r>
        <w:rPr>
          <w:rFonts w:cs="Arial"/>
          <w:bCs/>
          <w:szCs w:val="21"/>
          <w:u w:val="single"/>
        </w:rPr>
        <w:t>_____________</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994"/>
        <w:gridCol w:w="1647"/>
        <w:gridCol w:w="824"/>
        <w:gridCol w:w="824"/>
        <w:gridCol w:w="824"/>
        <w:gridCol w:w="824"/>
        <w:gridCol w:w="984"/>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4" w:type="pct"/>
            <w:vAlign w:val="center"/>
          </w:tcPr>
          <w:p>
            <w:pPr>
              <w:spacing w:line="240" w:lineRule="auto"/>
              <w:jc w:val="center"/>
              <w:rPr>
                <w:szCs w:val="21"/>
              </w:rPr>
            </w:pPr>
            <w:r>
              <w:rPr>
                <w:rFonts w:hint="eastAsia"/>
                <w:szCs w:val="21"/>
              </w:rPr>
              <w:t>序号</w:t>
            </w:r>
          </w:p>
        </w:tc>
        <w:tc>
          <w:tcPr>
            <w:tcW w:w="1044" w:type="pct"/>
            <w:vAlign w:val="center"/>
          </w:tcPr>
          <w:p>
            <w:pPr>
              <w:spacing w:line="240" w:lineRule="auto"/>
              <w:jc w:val="center"/>
              <w:rPr>
                <w:szCs w:val="21"/>
              </w:rPr>
            </w:pPr>
            <w:r>
              <w:rPr>
                <w:rFonts w:hint="eastAsia"/>
                <w:szCs w:val="21"/>
              </w:rPr>
              <w:t>货物名称</w:t>
            </w:r>
          </w:p>
        </w:tc>
        <w:tc>
          <w:tcPr>
            <w:tcW w:w="863" w:type="pct"/>
            <w:vAlign w:val="center"/>
          </w:tcPr>
          <w:p>
            <w:pPr>
              <w:spacing w:line="240" w:lineRule="auto"/>
              <w:jc w:val="center"/>
              <w:rPr>
                <w:szCs w:val="21"/>
              </w:rPr>
            </w:pPr>
            <w:r>
              <w:rPr>
                <w:rFonts w:hint="eastAsia"/>
                <w:szCs w:val="21"/>
              </w:rPr>
              <w:t>规格及型号</w:t>
            </w:r>
          </w:p>
        </w:tc>
        <w:tc>
          <w:tcPr>
            <w:tcW w:w="433" w:type="pct"/>
            <w:vAlign w:val="center"/>
          </w:tcPr>
          <w:p>
            <w:pPr>
              <w:spacing w:line="240" w:lineRule="auto"/>
              <w:jc w:val="center"/>
              <w:rPr>
                <w:b/>
                <w:szCs w:val="21"/>
              </w:rPr>
            </w:pPr>
            <w:r>
              <w:rPr>
                <w:rFonts w:hint="eastAsia"/>
                <w:b/>
                <w:szCs w:val="21"/>
              </w:rPr>
              <w:t>产地</w:t>
            </w:r>
          </w:p>
        </w:tc>
        <w:tc>
          <w:tcPr>
            <w:tcW w:w="433" w:type="pct"/>
            <w:vAlign w:val="center"/>
          </w:tcPr>
          <w:p>
            <w:pPr>
              <w:spacing w:line="240" w:lineRule="auto"/>
              <w:jc w:val="center"/>
              <w:rPr>
                <w:szCs w:val="21"/>
              </w:rPr>
            </w:pPr>
            <w:r>
              <w:rPr>
                <w:rFonts w:hint="eastAsia"/>
                <w:szCs w:val="21"/>
              </w:rPr>
              <w:t>品牌</w:t>
            </w:r>
          </w:p>
        </w:tc>
        <w:tc>
          <w:tcPr>
            <w:tcW w:w="433" w:type="pct"/>
            <w:vAlign w:val="center"/>
          </w:tcPr>
          <w:p>
            <w:pPr>
              <w:spacing w:line="240" w:lineRule="auto"/>
              <w:jc w:val="center"/>
              <w:rPr>
                <w:szCs w:val="21"/>
              </w:rPr>
            </w:pPr>
            <w:r>
              <w:rPr>
                <w:rFonts w:hint="eastAsia"/>
                <w:szCs w:val="21"/>
              </w:rPr>
              <w:t>数量</w:t>
            </w:r>
          </w:p>
        </w:tc>
        <w:tc>
          <w:tcPr>
            <w:tcW w:w="433" w:type="pct"/>
            <w:vAlign w:val="center"/>
          </w:tcPr>
          <w:p>
            <w:pPr>
              <w:spacing w:line="240" w:lineRule="auto"/>
              <w:jc w:val="center"/>
              <w:rPr>
                <w:szCs w:val="21"/>
              </w:rPr>
            </w:pPr>
            <w:r>
              <w:rPr>
                <w:rFonts w:hint="eastAsia"/>
                <w:szCs w:val="21"/>
              </w:rPr>
              <w:t>单位</w:t>
            </w:r>
          </w:p>
        </w:tc>
        <w:tc>
          <w:tcPr>
            <w:tcW w:w="516" w:type="pct"/>
            <w:vAlign w:val="center"/>
          </w:tcPr>
          <w:p>
            <w:pPr>
              <w:tabs>
                <w:tab w:val="clear" w:pos="426"/>
              </w:tabs>
              <w:spacing w:line="240" w:lineRule="auto"/>
              <w:jc w:val="center"/>
              <w:rPr>
                <w:rFonts w:cs="Arial"/>
                <w:bCs/>
                <w:szCs w:val="21"/>
              </w:rPr>
            </w:pPr>
            <w:r>
              <w:rPr>
                <w:rFonts w:hint="eastAsia" w:cs="Arial"/>
                <w:bCs/>
                <w:szCs w:val="21"/>
              </w:rPr>
              <w:t>交货期</w:t>
            </w:r>
          </w:p>
        </w:tc>
        <w:tc>
          <w:tcPr>
            <w:tcW w:w="500" w:type="pct"/>
            <w:vAlign w:val="center"/>
          </w:tcPr>
          <w:p>
            <w:pPr>
              <w:tabs>
                <w:tab w:val="clear" w:pos="426"/>
              </w:tabs>
              <w:spacing w:line="240" w:lineRule="auto"/>
              <w:jc w:val="center"/>
              <w:rPr>
                <w:rFonts w:cs="Arial"/>
                <w:bCs/>
                <w:szCs w:val="21"/>
              </w:rPr>
            </w:pPr>
            <w:r>
              <w:rPr>
                <w:rFonts w:hint="eastAsia" w:cs="Arial"/>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4" w:type="pct"/>
            <w:vAlign w:val="center"/>
          </w:tcPr>
          <w:p>
            <w:pPr>
              <w:spacing w:line="240" w:lineRule="auto"/>
              <w:jc w:val="center"/>
              <w:rPr>
                <w:sz w:val="24"/>
              </w:rPr>
            </w:pPr>
            <w:r>
              <w:rPr>
                <w:sz w:val="24"/>
              </w:rPr>
              <w:t>1</w:t>
            </w:r>
          </w:p>
        </w:tc>
        <w:tc>
          <w:tcPr>
            <w:tcW w:w="1044" w:type="pct"/>
            <w:vAlign w:val="center"/>
          </w:tcPr>
          <w:p>
            <w:pPr>
              <w:spacing w:line="240" w:lineRule="auto"/>
              <w:jc w:val="center"/>
              <w:rPr>
                <w:sz w:val="24"/>
              </w:rPr>
            </w:pPr>
          </w:p>
        </w:tc>
        <w:tc>
          <w:tcPr>
            <w:tcW w:w="863" w:type="pct"/>
            <w:vAlign w:val="center"/>
          </w:tcPr>
          <w:p>
            <w:pPr>
              <w:spacing w:line="240" w:lineRule="auto"/>
              <w:jc w:val="center"/>
              <w:rPr>
                <w:sz w:val="24"/>
              </w:rPr>
            </w:pPr>
          </w:p>
        </w:tc>
        <w:tc>
          <w:tcPr>
            <w:tcW w:w="433" w:type="pct"/>
            <w:vAlign w:val="center"/>
          </w:tcPr>
          <w:p>
            <w:pPr>
              <w:spacing w:line="240" w:lineRule="auto"/>
              <w:jc w:val="center"/>
              <w:rPr>
                <w:sz w:val="24"/>
              </w:rPr>
            </w:pPr>
          </w:p>
        </w:tc>
        <w:tc>
          <w:tcPr>
            <w:tcW w:w="433" w:type="pct"/>
            <w:vAlign w:val="center"/>
          </w:tcPr>
          <w:p>
            <w:pPr>
              <w:spacing w:line="240" w:lineRule="auto"/>
              <w:jc w:val="center"/>
              <w:rPr>
                <w:sz w:val="24"/>
              </w:rPr>
            </w:pPr>
          </w:p>
        </w:tc>
        <w:tc>
          <w:tcPr>
            <w:tcW w:w="433" w:type="pct"/>
            <w:vAlign w:val="center"/>
          </w:tcPr>
          <w:p>
            <w:pPr>
              <w:spacing w:line="240" w:lineRule="auto"/>
              <w:jc w:val="center"/>
              <w:rPr>
                <w:sz w:val="24"/>
              </w:rPr>
            </w:pPr>
          </w:p>
        </w:tc>
        <w:tc>
          <w:tcPr>
            <w:tcW w:w="433" w:type="pct"/>
            <w:vAlign w:val="center"/>
          </w:tcPr>
          <w:p>
            <w:pPr>
              <w:spacing w:line="240" w:lineRule="auto"/>
              <w:jc w:val="center"/>
              <w:rPr>
                <w:sz w:val="24"/>
              </w:rPr>
            </w:pPr>
          </w:p>
        </w:tc>
        <w:tc>
          <w:tcPr>
            <w:tcW w:w="516" w:type="pct"/>
            <w:vAlign w:val="center"/>
          </w:tcPr>
          <w:p>
            <w:pPr>
              <w:spacing w:line="240" w:lineRule="auto"/>
              <w:jc w:val="center"/>
              <w:rPr>
                <w:sz w:val="24"/>
              </w:rPr>
            </w:pPr>
          </w:p>
        </w:tc>
        <w:tc>
          <w:tcPr>
            <w:tcW w:w="500" w:type="pct"/>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4" w:type="pct"/>
            <w:vAlign w:val="center"/>
          </w:tcPr>
          <w:p>
            <w:pPr>
              <w:spacing w:line="240" w:lineRule="auto"/>
              <w:jc w:val="center"/>
              <w:rPr>
                <w:sz w:val="24"/>
              </w:rPr>
            </w:pPr>
            <w:r>
              <w:rPr>
                <w:sz w:val="24"/>
              </w:rPr>
              <w:t>2</w:t>
            </w:r>
          </w:p>
        </w:tc>
        <w:tc>
          <w:tcPr>
            <w:tcW w:w="1044" w:type="pct"/>
            <w:vAlign w:val="center"/>
          </w:tcPr>
          <w:p>
            <w:pPr>
              <w:spacing w:line="240" w:lineRule="auto"/>
              <w:jc w:val="center"/>
              <w:rPr>
                <w:sz w:val="24"/>
              </w:rPr>
            </w:pPr>
          </w:p>
        </w:tc>
        <w:tc>
          <w:tcPr>
            <w:tcW w:w="863" w:type="pct"/>
            <w:vAlign w:val="center"/>
          </w:tcPr>
          <w:p>
            <w:pPr>
              <w:spacing w:line="240" w:lineRule="auto"/>
              <w:jc w:val="center"/>
              <w:rPr>
                <w:sz w:val="24"/>
              </w:rPr>
            </w:pPr>
          </w:p>
        </w:tc>
        <w:tc>
          <w:tcPr>
            <w:tcW w:w="433" w:type="pct"/>
            <w:vAlign w:val="center"/>
          </w:tcPr>
          <w:p>
            <w:pPr>
              <w:spacing w:line="240" w:lineRule="auto"/>
              <w:jc w:val="center"/>
              <w:rPr>
                <w:sz w:val="24"/>
              </w:rPr>
            </w:pPr>
          </w:p>
        </w:tc>
        <w:tc>
          <w:tcPr>
            <w:tcW w:w="433" w:type="pct"/>
            <w:vAlign w:val="center"/>
          </w:tcPr>
          <w:p>
            <w:pPr>
              <w:spacing w:line="240" w:lineRule="auto"/>
              <w:jc w:val="center"/>
              <w:rPr>
                <w:sz w:val="24"/>
              </w:rPr>
            </w:pPr>
          </w:p>
        </w:tc>
        <w:tc>
          <w:tcPr>
            <w:tcW w:w="433" w:type="pct"/>
            <w:vAlign w:val="center"/>
          </w:tcPr>
          <w:p>
            <w:pPr>
              <w:spacing w:line="240" w:lineRule="auto"/>
              <w:jc w:val="center"/>
              <w:rPr>
                <w:sz w:val="24"/>
              </w:rPr>
            </w:pPr>
          </w:p>
        </w:tc>
        <w:tc>
          <w:tcPr>
            <w:tcW w:w="433" w:type="pct"/>
            <w:vAlign w:val="center"/>
          </w:tcPr>
          <w:p>
            <w:pPr>
              <w:spacing w:line="240" w:lineRule="auto"/>
              <w:jc w:val="center"/>
              <w:rPr>
                <w:sz w:val="24"/>
              </w:rPr>
            </w:pPr>
          </w:p>
        </w:tc>
        <w:tc>
          <w:tcPr>
            <w:tcW w:w="516" w:type="pct"/>
            <w:vAlign w:val="center"/>
          </w:tcPr>
          <w:p>
            <w:pPr>
              <w:spacing w:line="240" w:lineRule="auto"/>
              <w:jc w:val="center"/>
              <w:rPr>
                <w:sz w:val="24"/>
              </w:rPr>
            </w:pPr>
          </w:p>
        </w:tc>
        <w:tc>
          <w:tcPr>
            <w:tcW w:w="500" w:type="pct"/>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4" w:type="pct"/>
            <w:vAlign w:val="center"/>
          </w:tcPr>
          <w:p>
            <w:pPr>
              <w:spacing w:line="240" w:lineRule="auto"/>
              <w:jc w:val="center"/>
              <w:rPr>
                <w:sz w:val="24"/>
              </w:rPr>
            </w:pPr>
            <w:r>
              <w:rPr>
                <w:sz w:val="24"/>
              </w:rPr>
              <w:t>3</w:t>
            </w:r>
          </w:p>
        </w:tc>
        <w:tc>
          <w:tcPr>
            <w:tcW w:w="1044" w:type="pct"/>
            <w:vAlign w:val="center"/>
          </w:tcPr>
          <w:p>
            <w:pPr>
              <w:spacing w:line="240" w:lineRule="auto"/>
              <w:jc w:val="center"/>
              <w:rPr>
                <w:sz w:val="24"/>
              </w:rPr>
            </w:pPr>
          </w:p>
        </w:tc>
        <w:tc>
          <w:tcPr>
            <w:tcW w:w="863" w:type="pct"/>
            <w:vAlign w:val="center"/>
          </w:tcPr>
          <w:p>
            <w:pPr>
              <w:spacing w:line="240" w:lineRule="auto"/>
              <w:jc w:val="center"/>
              <w:rPr>
                <w:sz w:val="24"/>
              </w:rPr>
            </w:pPr>
          </w:p>
        </w:tc>
        <w:tc>
          <w:tcPr>
            <w:tcW w:w="433" w:type="pct"/>
            <w:vAlign w:val="center"/>
          </w:tcPr>
          <w:p>
            <w:pPr>
              <w:spacing w:line="240" w:lineRule="auto"/>
              <w:jc w:val="center"/>
              <w:rPr>
                <w:sz w:val="24"/>
              </w:rPr>
            </w:pPr>
          </w:p>
        </w:tc>
        <w:tc>
          <w:tcPr>
            <w:tcW w:w="433" w:type="pct"/>
            <w:vAlign w:val="center"/>
          </w:tcPr>
          <w:p>
            <w:pPr>
              <w:spacing w:line="240" w:lineRule="auto"/>
              <w:jc w:val="center"/>
              <w:rPr>
                <w:sz w:val="24"/>
              </w:rPr>
            </w:pPr>
          </w:p>
        </w:tc>
        <w:tc>
          <w:tcPr>
            <w:tcW w:w="433" w:type="pct"/>
            <w:vAlign w:val="center"/>
          </w:tcPr>
          <w:p>
            <w:pPr>
              <w:spacing w:line="240" w:lineRule="auto"/>
              <w:jc w:val="center"/>
              <w:rPr>
                <w:sz w:val="24"/>
              </w:rPr>
            </w:pPr>
          </w:p>
        </w:tc>
        <w:tc>
          <w:tcPr>
            <w:tcW w:w="433" w:type="pct"/>
            <w:vAlign w:val="center"/>
          </w:tcPr>
          <w:p>
            <w:pPr>
              <w:spacing w:line="240" w:lineRule="auto"/>
              <w:jc w:val="center"/>
              <w:rPr>
                <w:sz w:val="24"/>
              </w:rPr>
            </w:pPr>
          </w:p>
        </w:tc>
        <w:tc>
          <w:tcPr>
            <w:tcW w:w="516" w:type="pct"/>
            <w:vAlign w:val="center"/>
          </w:tcPr>
          <w:p>
            <w:pPr>
              <w:spacing w:line="240" w:lineRule="auto"/>
              <w:jc w:val="center"/>
              <w:rPr>
                <w:sz w:val="24"/>
              </w:rPr>
            </w:pPr>
          </w:p>
        </w:tc>
        <w:tc>
          <w:tcPr>
            <w:tcW w:w="500" w:type="pct"/>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4" w:type="pct"/>
            <w:vAlign w:val="center"/>
          </w:tcPr>
          <w:p>
            <w:pPr>
              <w:spacing w:line="240" w:lineRule="auto"/>
              <w:jc w:val="center"/>
              <w:rPr>
                <w:sz w:val="24"/>
              </w:rPr>
            </w:pPr>
            <w:r>
              <w:rPr>
                <w:rFonts w:hint="eastAsia"/>
                <w:sz w:val="24"/>
              </w:rPr>
              <w:t>……</w:t>
            </w:r>
          </w:p>
        </w:tc>
        <w:tc>
          <w:tcPr>
            <w:tcW w:w="1044" w:type="pct"/>
            <w:vAlign w:val="center"/>
          </w:tcPr>
          <w:p>
            <w:pPr>
              <w:spacing w:line="240" w:lineRule="auto"/>
              <w:jc w:val="center"/>
              <w:rPr>
                <w:sz w:val="24"/>
              </w:rPr>
            </w:pPr>
          </w:p>
        </w:tc>
        <w:tc>
          <w:tcPr>
            <w:tcW w:w="863" w:type="pct"/>
            <w:vAlign w:val="center"/>
          </w:tcPr>
          <w:p>
            <w:pPr>
              <w:spacing w:line="240" w:lineRule="auto"/>
              <w:jc w:val="center"/>
              <w:rPr>
                <w:sz w:val="24"/>
              </w:rPr>
            </w:pPr>
          </w:p>
        </w:tc>
        <w:tc>
          <w:tcPr>
            <w:tcW w:w="433" w:type="pct"/>
            <w:vAlign w:val="center"/>
          </w:tcPr>
          <w:p>
            <w:pPr>
              <w:spacing w:line="240" w:lineRule="auto"/>
              <w:jc w:val="center"/>
              <w:rPr>
                <w:sz w:val="24"/>
              </w:rPr>
            </w:pPr>
          </w:p>
        </w:tc>
        <w:tc>
          <w:tcPr>
            <w:tcW w:w="433" w:type="pct"/>
            <w:vAlign w:val="center"/>
          </w:tcPr>
          <w:p>
            <w:pPr>
              <w:spacing w:line="240" w:lineRule="auto"/>
              <w:jc w:val="center"/>
              <w:rPr>
                <w:sz w:val="24"/>
              </w:rPr>
            </w:pPr>
          </w:p>
        </w:tc>
        <w:tc>
          <w:tcPr>
            <w:tcW w:w="433" w:type="pct"/>
            <w:vAlign w:val="center"/>
          </w:tcPr>
          <w:p>
            <w:pPr>
              <w:spacing w:line="240" w:lineRule="auto"/>
              <w:jc w:val="center"/>
              <w:rPr>
                <w:sz w:val="24"/>
              </w:rPr>
            </w:pPr>
          </w:p>
        </w:tc>
        <w:tc>
          <w:tcPr>
            <w:tcW w:w="433" w:type="pct"/>
            <w:vAlign w:val="center"/>
          </w:tcPr>
          <w:p>
            <w:pPr>
              <w:spacing w:line="240" w:lineRule="auto"/>
              <w:jc w:val="center"/>
              <w:rPr>
                <w:sz w:val="24"/>
              </w:rPr>
            </w:pPr>
          </w:p>
        </w:tc>
        <w:tc>
          <w:tcPr>
            <w:tcW w:w="516" w:type="pct"/>
            <w:vAlign w:val="center"/>
          </w:tcPr>
          <w:p>
            <w:pPr>
              <w:spacing w:line="240" w:lineRule="auto"/>
              <w:jc w:val="center"/>
              <w:rPr>
                <w:sz w:val="24"/>
              </w:rPr>
            </w:pPr>
          </w:p>
        </w:tc>
        <w:tc>
          <w:tcPr>
            <w:tcW w:w="500" w:type="pct"/>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44" w:type="pct"/>
            <w:vAlign w:val="center"/>
          </w:tcPr>
          <w:p>
            <w:pPr>
              <w:spacing w:line="240" w:lineRule="auto"/>
              <w:jc w:val="center"/>
              <w:rPr>
                <w:sz w:val="24"/>
              </w:rPr>
            </w:pPr>
            <w:r>
              <w:rPr>
                <w:rFonts w:hint="eastAsia"/>
                <w:sz w:val="24"/>
              </w:rPr>
              <w:t>……</w:t>
            </w:r>
          </w:p>
        </w:tc>
        <w:tc>
          <w:tcPr>
            <w:tcW w:w="1044" w:type="pct"/>
            <w:vAlign w:val="center"/>
          </w:tcPr>
          <w:p>
            <w:pPr>
              <w:spacing w:line="240" w:lineRule="auto"/>
              <w:jc w:val="center"/>
              <w:rPr>
                <w:sz w:val="24"/>
              </w:rPr>
            </w:pPr>
          </w:p>
        </w:tc>
        <w:tc>
          <w:tcPr>
            <w:tcW w:w="863" w:type="pct"/>
            <w:vAlign w:val="center"/>
          </w:tcPr>
          <w:p>
            <w:pPr>
              <w:spacing w:line="240" w:lineRule="auto"/>
              <w:jc w:val="center"/>
              <w:rPr>
                <w:sz w:val="24"/>
              </w:rPr>
            </w:pPr>
          </w:p>
        </w:tc>
        <w:tc>
          <w:tcPr>
            <w:tcW w:w="433" w:type="pct"/>
            <w:vAlign w:val="center"/>
          </w:tcPr>
          <w:p>
            <w:pPr>
              <w:spacing w:line="240" w:lineRule="auto"/>
              <w:jc w:val="center"/>
              <w:rPr>
                <w:sz w:val="24"/>
              </w:rPr>
            </w:pPr>
          </w:p>
        </w:tc>
        <w:tc>
          <w:tcPr>
            <w:tcW w:w="433" w:type="pct"/>
            <w:vAlign w:val="center"/>
          </w:tcPr>
          <w:p>
            <w:pPr>
              <w:spacing w:line="240" w:lineRule="auto"/>
              <w:jc w:val="center"/>
              <w:rPr>
                <w:sz w:val="24"/>
              </w:rPr>
            </w:pPr>
          </w:p>
        </w:tc>
        <w:tc>
          <w:tcPr>
            <w:tcW w:w="433" w:type="pct"/>
            <w:vAlign w:val="center"/>
          </w:tcPr>
          <w:p>
            <w:pPr>
              <w:spacing w:line="240" w:lineRule="auto"/>
              <w:jc w:val="center"/>
              <w:rPr>
                <w:sz w:val="24"/>
              </w:rPr>
            </w:pPr>
          </w:p>
        </w:tc>
        <w:tc>
          <w:tcPr>
            <w:tcW w:w="433" w:type="pct"/>
            <w:vAlign w:val="center"/>
          </w:tcPr>
          <w:p>
            <w:pPr>
              <w:spacing w:line="240" w:lineRule="auto"/>
              <w:jc w:val="center"/>
              <w:rPr>
                <w:sz w:val="24"/>
              </w:rPr>
            </w:pPr>
          </w:p>
        </w:tc>
        <w:tc>
          <w:tcPr>
            <w:tcW w:w="516" w:type="pct"/>
            <w:vAlign w:val="center"/>
          </w:tcPr>
          <w:p>
            <w:pPr>
              <w:spacing w:line="240" w:lineRule="auto"/>
              <w:jc w:val="center"/>
              <w:rPr>
                <w:sz w:val="24"/>
              </w:rPr>
            </w:pPr>
          </w:p>
        </w:tc>
        <w:tc>
          <w:tcPr>
            <w:tcW w:w="500" w:type="pct"/>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4" w:type="pct"/>
            <w:vAlign w:val="center"/>
          </w:tcPr>
          <w:p>
            <w:pPr>
              <w:spacing w:line="240" w:lineRule="auto"/>
              <w:jc w:val="center"/>
              <w:rPr>
                <w:sz w:val="24"/>
              </w:rPr>
            </w:pPr>
          </w:p>
        </w:tc>
        <w:tc>
          <w:tcPr>
            <w:tcW w:w="1044" w:type="pct"/>
            <w:vAlign w:val="center"/>
          </w:tcPr>
          <w:p>
            <w:pPr>
              <w:spacing w:line="240" w:lineRule="auto"/>
              <w:jc w:val="center"/>
              <w:rPr>
                <w:sz w:val="24"/>
              </w:rPr>
            </w:pPr>
          </w:p>
        </w:tc>
        <w:tc>
          <w:tcPr>
            <w:tcW w:w="863" w:type="pct"/>
            <w:vAlign w:val="center"/>
          </w:tcPr>
          <w:p>
            <w:pPr>
              <w:spacing w:line="240" w:lineRule="auto"/>
              <w:jc w:val="center"/>
              <w:rPr>
                <w:sz w:val="24"/>
              </w:rPr>
            </w:pPr>
          </w:p>
        </w:tc>
        <w:tc>
          <w:tcPr>
            <w:tcW w:w="433" w:type="pct"/>
            <w:vAlign w:val="center"/>
          </w:tcPr>
          <w:p>
            <w:pPr>
              <w:spacing w:line="240" w:lineRule="auto"/>
              <w:jc w:val="center"/>
              <w:rPr>
                <w:sz w:val="24"/>
              </w:rPr>
            </w:pPr>
          </w:p>
        </w:tc>
        <w:tc>
          <w:tcPr>
            <w:tcW w:w="433" w:type="pct"/>
            <w:vAlign w:val="center"/>
          </w:tcPr>
          <w:p>
            <w:pPr>
              <w:spacing w:line="240" w:lineRule="auto"/>
              <w:jc w:val="center"/>
              <w:rPr>
                <w:sz w:val="24"/>
              </w:rPr>
            </w:pPr>
          </w:p>
        </w:tc>
        <w:tc>
          <w:tcPr>
            <w:tcW w:w="433" w:type="pct"/>
            <w:vAlign w:val="center"/>
          </w:tcPr>
          <w:p>
            <w:pPr>
              <w:spacing w:line="240" w:lineRule="auto"/>
              <w:jc w:val="center"/>
              <w:rPr>
                <w:sz w:val="24"/>
              </w:rPr>
            </w:pPr>
          </w:p>
        </w:tc>
        <w:tc>
          <w:tcPr>
            <w:tcW w:w="433" w:type="pct"/>
            <w:vAlign w:val="center"/>
          </w:tcPr>
          <w:p>
            <w:pPr>
              <w:spacing w:line="240" w:lineRule="auto"/>
              <w:jc w:val="center"/>
              <w:rPr>
                <w:sz w:val="24"/>
              </w:rPr>
            </w:pPr>
          </w:p>
        </w:tc>
        <w:tc>
          <w:tcPr>
            <w:tcW w:w="516" w:type="pct"/>
            <w:vAlign w:val="center"/>
          </w:tcPr>
          <w:p>
            <w:pPr>
              <w:spacing w:line="240" w:lineRule="auto"/>
              <w:jc w:val="center"/>
              <w:rPr>
                <w:sz w:val="24"/>
              </w:rPr>
            </w:pPr>
          </w:p>
        </w:tc>
        <w:tc>
          <w:tcPr>
            <w:tcW w:w="500" w:type="pct"/>
            <w:vAlign w:val="center"/>
          </w:tcPr>
          <w:p>
            <w:pPr>
              <w:spacing w:line="240" w:lineRule="auto"/>
              <w:jc w:val="center"/>
              <w:rPr>
                <w:sz w:val="24"/>
              </w:rPr>
            </w:pPr>
          </w:p>
        </w:tc>
      </w:tr>
    </w:tbl>
    <w:p>
      <w:pPr>
        <w:tabs>
          <w:tab w:val="clear" w:pos="426"/>
        </w:tabs>
        <w:rPr>
          <w:rFonts w:cs="Arial"/>
          <w:bCs/>
          <w:szCs w:val="21"/>
        </w:rPr>
      </w:pPr>
      <w:r>
        <w:rPr>
          <w:rFonts w:hint="eastAsia" w:cs="Arial"/>
          <w:bCs/>
          <w:szCs w:val="21"/>
        </w:rPr>
        <w:t>备注：“产地”是指该产品的实际生产加工地，而非品牌总公司所在地。</w:t>
      </w:r>
    </w:p>
    <w:p>
      <w:pPr>
        <w:rPr>
          <w:rFonts w:cs="Arial"/>
          <w:bCs/>
          <w:szCs w:val="21"/>
        </w:rPr>
      </w:pPr>
      <w:r>
        <w:rPr>
          <w:rFonts w:cs="Arial"/>
          <w:bCs/>
          <w:szCs w:val="21"/>
        </w:rPr>
        <w:br w:type="page"/>
      </w:r>
    </w:p>
    <w:p>
      <w:pPr>
        <w:numPr>
          <w:ilvl w:val="0"/>
          <w:numId w:val="6"/>
        </w:numPr>
        <w:adjustRightInd/>
        <w:snapToGrid/>
        <w:spacing w:before="280" w:after="290" w:line="377" w:lineRule="auto"/>
        <w:outlineLvl w:val="2"/>
        <w:rPr>
          <w:b/>
          <w:sz w:val="24"/>
        </w:rPr>
      </w:pPr>
      <w:bookmarkStart w:id="172" w:name="_Toc31930"/>
      <w:r>
        <w:rPr>
          <w:rFonts w:hint="eastAsia"/>
          <w:b/>
          <w:sz w:val="24"/>
        </w:rPr>
        <w:t>实质性响应条款偏离表</w:t>
      </w:r>
      <w:bookmarkEnd w:id="172"/>
    </w:p>
    <w:p>
      <w:pPr>
        <w:widowControl w:val="0"/>
        <w:shd w:val="clear" w:color="auto" w:fill="auto"/>
        <w:tabs>
          <w:tab w:val="clear" w:pos="426"/>
        </w:tabs>
        <w:adjustRightInd/>
        <w:snapToGrid/>
        <w:spacing w:line="300" w:lineRule="auto"/>
        <w:ind w:firstLine="649"/>
        <w:jc w:val="center"/>
        <w:rPr>
          <w:rFonts w:cs="Times New Roman"/>
          <w:bCs/>
          <w:kern w:val="2"/>
          <w:sz w:val="32"/>
          <w:szCs w:val="32"/>
        </w:rPr>
      </w:pPr>
      <w:r>
        <w:rPr>
          <w:rFonts w:hint="eastAsia" w:cs="Times New Roman"/>
          <w:bCs/>
          <w:kern w:val="2"/>
          <w:sz w:val="32"/>
          <w:szCs w:val="32"/>
        </w:rPr>
        <w:t>实质性响应条款偏离表</w:t>
      </w:r>
    </w:p>
    <w:p>
      <w:pPr>
        <w:tabs>
          <w:tab w:val="clear" w:pos="426"/>
        </w:tabs>
        <w:jc w:val="left"/>
      </w:pPr>
    </w:p>
    <w:p>
      <w:pPr>
        <w:tabs>
          <w:tab w:val="clear" w:pos="426"/>
        </w:tabs>
        <w:jc w:val="left"/>
        <w:rPr>
          <w:szCs w:val="21"/>
          <w:u w:val="single"/>
        </w:rPr>
      </w:pPr>
      <w:r>
        <w:rPr>
          <w:rFonts w:hint="eastAsia"/>
        </w:rPr>
        <w:t>项目名称：</w:t>
      </w:r>
      <w:r>
        <w:rPr>
          <w:szCs w:val="21"/>
          <w:u w:val="single"/>
        </w:rPr>
        <w:t>______________________</w:t>
      </w:r>
      <w:r>
        <w:rPr>
          <w:rFonts w:hint="eastAsia"/>
        </w:rPr>
        <w:t>项目编号：</w:t>
      </w:r>
      <w:r>
        <w:rPr>
          <w:szCs w:val="21"/>
          <w:u w:val="single"/>
        </w:rPr>
        <w:t>______________________</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
        <w:gridCol w:w="4021"/>
        <w:gridCol w:w="4021"/>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 w:type="pct"/>
            <w:vAlign w:val="center"/>
          </w:tcPr>
          <w:p>
            <w:pPr>
              <w:spacing w:line="240" w:lineRule="auto"/>
              <w:jc w:val="center"/>
              <w:rPr>
                <w:szCs w:val="21"/>
              </w:rPr>
            </w:pPr>
            <w:r>
              <w:rPr>
                <w:rFonts w:hint="eastAsia"/>
                <w:szCs w:val="21"/>
              </w:rPr>
              <w:t>序号</w:t>
            </w:r>
          </w:p>
        </w:tc>
        <w:tc>
          <w:tcPr>
            <w:tcW w:w="2101" w:type="pct"/>
            <w:vAlign w:val="center"/>
          </w:tcPr>
          <w:p>
            <w:pPr>
              <w:spacing w:line="240" w:lineRule="auto"/>
              <w:jc w:val="center"/>
              <w:rPr>
                <w:szCs w:val="21"/>
              </w:rPr>
            </w:pPr>
            <w:r>
              <w:rPr>
                <w:rFonts w:hint="eastAsia"/>
                <w:szCs w:val="21"/>
              </w:rPr>
              <w:t>采购人要求内容</w:t>
            </w:r>
          </w:p>
        </w:tc>
        <w:tc>
          <w:tcPr>
            <w:tcW w:w="2101" w:type="pct"/>
            <w:vAlign w:val="center"/>
          </w:tcPr>
          <w:p>
            <w:pPr>
              <w:spacing w:line="240" w:lineRule="auto"/>
              <w:jc w:val="center"/>
              <w:rPr>
                <w:szCs w:val="21"/>
              </w:rPr>
            </w:pPr>
            <w:r>
              <w:rPr>
                <w:rFonts w:hint="eastAsia"/>
                <w:szCs w:val="21"/>
              </w:rPr>
              <w:t>供应商响应情况</w:t>
            </w:r>
          </w:p>
        </w:tc>
        <w:tc>
          <w:tcPr>
            <w:tcW w:w="574" w:type="pct"/>
            <w:vAlign w:val="center"/>
          </w:tcPr>
          <w:p>
            <w:pPr>
              <w:spacing w:line="240" w:lineRule="auto"/>
              <w:jc w:val="center"/>
              <w:rPr>
                <w:szCs w:val="21"/>
              </w:rPr>
            </w:pPr>
            <w:r>
              <w:rPr>
                <w:rFonts w:hint="eastAsia"/>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 w:type="pct"/>
            <w:vAlign w:val="center"/>
          </w:tcPr>
          <w:p>
            <w:pPr>
              <w:spacing w:line="240" w:lineRule="auto"/>
              <w:jc w:val="center"/>
              <w:rPr>
                <w:szCs w:val="21"/>
              </w:rPr>
            </w:pPr>
            <w:r>
              <w:rPr>
                <w:szCs w:val="21"/>
              </w:rPr>
              <w:t>1</w:t>
            </w:r>
          </w:p>
        </w:tc>
        <w:tc>
          <w:tcPr>
            <w:tcW w:w="2101" w:type="pct"/>
            <w:vAlign w:val="center"/>
          </w:tcPr>
          <w:p>
            <w:pPr>
              <w:widowControl w:val="0"/>
              <w:shd w:val="clear" w:color="auto" w:fill="auto"/>
              <w:tabs>
                <w:tab w:val="clear" w:pos="426"/>
              </w:tabs>
              <w:spacing w:line="240" w:lineRule="auto"/>
              <w:ind w:firstLine="420" w:firstLineChars="200"/>
              <w:rPr>
                <w:rFonts w:cs="Times New Roman"/>
                <w:szCs w:val="21"/>
              </w:rPr>
            </w:pPr>
          </w:p>
        </w:tc>
        <w:tc>
          <w:tcPr>
            <w:tcW w:w="2101" w:type="pct"/>
            <w:vAlign w:val="center"/>
          </w:tcPr>
          <w:p>
            <w:pPr>
              <w:widowControl w:val="0"/>
              <w:shd w:val="clear" w:color="auto" w:fill="auto"/>
              <w:tabs>
                <w:tab w:val="clear" w:pos="426"/>
              </w:tabs>
              <w:spacing w:line="240" w:lineRule="auto"/>
              <w:ind w:firstLine="420" w:firstLineChars="200"/>
              <w:jc w:val="left"/>
              <w:rPr>
                <w:rFonts w:cs="Times New Roman"/>
                <w:szCs w:val="21"/>
              </w:rPr>
            </w:pPr>
          </w:p>
        </w:tc>
        <w:tc>
          <w:tcPr>
            <w:tcW w:w="574" w:type="pct"/>
            <w:vAlign w:val="center"/>
          </w:tcPr>
          <w:p>
            <w:pPr>
              <w:spacing w:line="24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224" w:type="pct"/>
            <w:vAlign w:val="center"/>
          </w:tcPr>
          <w:p>
            <w:pPr>
              <w:spacing w:line="240" w:lineRule="auto"/>
              <w:jc w:val="center"/>
              <w:rPr>
                <w:szCs w:val="21"/>
              </w:rPr>
            </w:pPr>
            <w:r>
              <w:rPr>
                <w:szCs w:val="21"/>
              </w:rPr>
              <w:t>2</w:t>
            </w:r>
          </w:p>
        </w:tc>
        <w:tc>
          <w:tcPr>
            <w:tcW w:w="2101" w:type="pct"/>
            <w:vAlign w:val="center"/>
          </w:tcPr>
          <w:p>
            <w:pPr>
              <w:widowControl w:val="0"/>
              <w:shd w:val="clear" w:color="auto" w:fill="auto"/>
              <w:tabs>
                <w:tab w:val="clear" w:pos="426"/>
              </w:tabs>
              <w:spacing w:line="240" w:lineRule="auto"/>
              <w:ind w:firstLine="420" w:firstLineChars="200"/>
              <w:jc w:val="left"/>
              <w:rPr>
                <w:szCs w:val="21"/>
              </w:rPr>
            </w:pPr>
          </w:p>
        </w:tc>
        <w:tc>
          <w:tcPr>
            <w:tcW w:w="2101" w:type="pct"/>
            <w:vAlign w:val="center"/>
          </w:tcPr>
          <w:p>
            <w:pPr>
              <w:widowControl w:val="0"/>
              <w:shd w:val="clear" w:color="auto" w:fill="auto"/>
              <w:tabs>
                <w:tab w:val="clear" w:pos="426"/>
              </w:tabs>
              <w:spacing w:line="240" w:lineRule="auto"/>
              <w:ind w:firstLine="420" w:firstLineChars="200"/>
              <w:jc w:val="left"/>
              <w:rPr>
                <w:szCs w:val="21"/>
              </w:rPr>
            </w:pPr>
          </w:p>
        </w:tc>
        <w:tc>
          <w:tcPr>
            <w:tcW w:w="574" w:type="pct"/>
            <w:vAlign w:val="center"/>
          </w:tcPr>
          <w:p>
            <w:pPr>
              <w:spacing w:line="240" w:lineRule="auto"/>
              <w:ind w:firstLine="424"/>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224" w:type="pct"/>
            <w:vAlign w:val="center"/>
          </w:tcPr>
          <w:p>
            <w:pPr>
              <w:spacing w:line="240" w:lineRule="auto"/>
              <w:jc w:val="center"/>
              <w:rPr>
                <w:szCs w:val="21"/>
              </w:rPr>
            </w:pPr>
            <w:r>
              <w:rPr>
                <w:szCs w:val="21"/>
              </w:rPr>
              <w:t>3</w:t>
            </w:r>
          </w:p>
        </w:tc>
        <w:tc>
          <w:tcPr>
            <w:tcW w:w="2101" w:type="pct"/>
            <w:vAlign w:val="center"/>
          </w:tcPr>
          <w:p>
            <w:pPr>
              <w:widowControl w:val="0"/>
              <w:shd w:val="clear" w:color="auto" w:fill="auto"/>
              <w:tabs>
                <w:tab w:val="clear" w:pos="426"/>
              </w:tabs>
              <w:spacing w:line="240" w:lineRule="auto"/>
              <w:ind w:firstLine="420" w:firstLineChars="200"/>
              <w:jc w:val="left"/>
              <w:rPr>
                <w:szCs w:val="21"/>
              </w:rPr>
            </w:pPr>
          </w:p>
        </w:tc>
        <w:tc>
          <w:tcPr>
            <w:tcW w:w="2101" w:type="pct"/>
            <w:vAlign w:val="center"/>
          </w:tcPr>
          <w:p>
            <w:pPr>
              <w:widowControl w:val="0"/>
              <w:shd w:val="clear" w:color="auto" w:fill="auto"/>
              <w:tabs>
                <w:tab w:val="clear" w:pos="426"/>
              </w:tabs>
              <w:spacing w:line="240" w:lineRule="auto"/>
              <w:ind w:firstLine="420" w:firstLineChars="200"/>
              <w:jc w:val="left"/>
              <w:rPr>
                <w:szCs w:val="21"/>
              </w:rPr>
            </w:pPr>
          </w:p>
        </w:tc>
        <w:tc>
          <w:tcPr>
            <w:tcW w:w="574" w:type="pct"/>
            <w:vAlign w:val="center"/>
          </w:tcPr>
          <w:p>
            <w:pPr>
              <w:spacing w:line="240" w:lineRule="auto"/>
              <w:ind w:firstLine="424"/>
              <w:jc w:val="center"/>
              <w:rPr>
                <w:b/>
                <w:szCs w:val="21"/>
              </w:rPr>
            </w:pPr>
          </w:p>
        </w:tc>
      </w:tr>
    </w:tbl>
    <w:p>
      <w:pPr>
        <w:pStyle w:val="188"/>
        <w:ind w:firstLine="0" w:firstLineChars="0"/>
        <w:jc w:val="left"/>
      </w:pPr>
      <w:r>
        <w:rPr>
          <w:rFonts w:hint="eastAsia"/>
        </w:rPr>
        <w:t>注：</w:t>
      </w:r>
      <w:r>
        <w:t>1.</w:t>
      </w:r>
      <w:r>
        <w:rPr>
          <w:rFonts w:hint="eastAsia"/>
        </w:rPr>
        <w:t>上表所列内容为不可负偏离条款，如投标供应商该部分内容出现负偏离或未对该部分内容进行响应，将按照符合性检查表</w:t>
      </w:r>
      <w:bookmarkStart w:id="173" w:name="OLE_LINK32"/>
      <w:r>
        <w:rPr>
          <w:rFonts w:hint="eastAsia"/>
        </w:rPr>
        <w:t>作无效标处理</w:t>
      </w:r>
      <w:bookmarkEnd w:id="173"/>
      <w:r>
        <w:rPr>
          <w:rFonts w:hint="eastAsia"/>
        </w:rPr>
        <w:t>；</w:t>
      </w:r>
    </w:p>
    <w:p>
      <w:pPr>
        <w:ind w:left="422" w:leftChars="201"/>
        <w:jc w:val="left"/>
        <w:rPr>
          <w:b/>
        </w:rPr>
      </w:pPr>
      <w:bookmarkStart w:id="174" w:name="OLE_LINK33"/>
      <w:r>
        <w:rPr>
          <w:rFonts w:hint="eastAsia"/>
          <w:b/>
        </w:rPr>
        <w:t>2.“偏离情况”一栏应如实填写“正偏离”、</w:t>
      </w:r>
      <w:bookmarkStart w:id="175" w:name="OLE_LINK31"/>
      <w:r>
        <w:rPr>
          <w:rFonts w:hint="eastAsia"/>
          <w:b/>
        </w:rPr>
        <w:t>“负偏离”</w:t>
      </w:r>
      <w:bookmarkEnd w:id="175"/>
      <w:r>
        <w:rPr>
          <w:rFonts w:hint="eastAsia"/>
          <w:b/>
        </w:rPr>
        <w:t>或“无偏离”。</w:t>
      </w:r>
    </w:p>
    <w:p>
      <w:pPr>
        <w:pStyle w:val="44"/>
        <w:ind w:left="422" w:leftChars="201"/>
        <w:rPr>
          <w:b/>
        </w:rPr>
      </w:pPr>
      <w:r>
        <w:rPr>
          <w:rFonts w:hint="eastAsia"/>
          <w:b/>
        </w:rPr>
        <w:t>3.要求提供证明材料但未提供</w:t>
      </w:r>
      <w:bookmarkStart w:id="176" w:name="OLE_LINK34"/>
      <w:r>
        <w:rPr>
          <w:rFonts w:hint="eastAsia"/>
          <w:b/>
        </w:rPr>
        <w:t>的</w:t>
      </w:r>
      <w:bookmarkEnd w:id="176"/>
      <w:r>
        <w:rPr>
          <w:rFonts w:hint="eastAsia"/>
          <w:b/>
        </w:rPr>
        <w:t>视为“负偏离”，作无效标处理。</w:t>
      </w:r>
    </w:p>
    <w:p>
      <w:pPr>
        <w:pStyle w:val="44"/>
        <w:ind w:left="422" w:leftChars="201"/>
        <w:rPr>
          <w:b/>
        </w:rPr>
      </w:pPr>
    </w:p>
    <w:bookmarkEnd w:id="174"/>
    <w:p>
      <w:pPr>
        <w:tabs>
          <w:tab w:val="clear" w:pos="426"/>
        </w:tabs>
        <w:spacing w:line="500" w:lineRule="exact"/>
        <w:rPr>
          <w:rFonts w:ascii="Times New Roman" w:cs="Times New Roman"/>
          <w:u w:val="single"/>
        </w:rPr>
      </w:pPr>
      <w:r>
        <w:rPr>
          <w:rFonts w:ascii="Times New Roman" w:cs="Times New Roman"/>
          <w:spacing w:val="4"/>
        </w:rPr>
        <w:t>投标人名称（</w:t>
      </w:r>
      <w:r>
        <w:rPr>
          <w:rFonts w:ascii="Times New Roman" w:cs="Times New Roman"/>
        </w:rPr>
        <w:t>单位盖</w:t>
      </w:r>
      <w:r>
        <w:rPr>
          <w:rFonts w:ascii="Times New Roman" w:cs="Times New Roman"/>
          <w:spacing w:val="4"/>
        </w:rPr>
        <w:t>公章）：</w:t>
      </w:r>
      <w:r>
        <w:rPr>
          <w:rFonts w:ascii="Times New Roman" w:cs="Times New Roman"/>
          <w:spacing w:val="4"/>
          <w:u w:val="single"/>
        </w:rPr>
        <w:t>__________________________________________________</w:t>
      </w:r>
    </w:p>
    <w:p>
      <w:pPr>
        <w:tabs>
          <w:tab w:val="clear" w:pos="426"/>
        </w:tabs>
        <w:spacing w:line="520" w:lineRule="exact"/>
        <w:rPr>
          <w:szCs w:val="21"/>
          <w:u w:val="single"/>
        </w:rPr>
      </w:pPr>
      <w:r>
        <w:rPr>
          <w:rFonts w:ascii="Times New Roman" w:cs="Times New Roman"/>
        </w:rPr>
        <w:t>法定代表人或投标人授权代表（签名或盖章）：</w:t>
      </w:r>
      <w:r>
        <w:rPr>
          <w:rFonts w:ascii="Times New Roman" w:cs="Times New Roman"/>
          <w:spacing w:val="4"/>
          <w:u w:val="single"/>
        </w:rPr>
        <w:t>____________</w:t>
      </w:r>
      <w:r>
        <w:rPr>
          <w:rFonts w:ascii="Times New Roman" w:cs="Times New Roman"/>
          <w:spacing w:val="4"/>
        </w:rPr>
        <w:t xml:space="preserve"> 职务：</w:t>
      </w:r>
      <w:r>
        <w:rPr>
          <w:rFonts w:ascii="Times New Roman" w:cs="Times New Roman"/>
          <w:spacing w:val="4"/>
          <w:u w:val="single"/>
        </w:rPr>
        <w:t>______</w:t>
      </w:r>
      <w:r>
        <w:rPr>
          <w:rFonts w:ascii="Times New Roman" w:cs="Times New Roman"/>
          <w:spacing w:val="4"/>
        </w:rPr>
        <w:t xml:space="preserve"> 日期</w:t>
      </w:r>
      <w:r>
        <w:rPr>
          <w:rFonts w:hint="eastAsia" w:ascii="Times New Roman" w:cs="Times New Roman"/>
          <w:spacing w:val="4"/>
        </w:rPr>
        <w:t>：</w:t>
      </w:r>
      <w:r>
        <w:rPr>
          <w:rFonts w:ascii="Times New Roman" w:cs="Times New Roman"/>
          <w:spacing w:val="4"/>
          <w:u w:val="single"/>
        </w:rPr>
        <w:t>_______</w:t>
      </w:r>
    </w:p>
    <w:p>
      <w:pPr>
        <w:tabs>
          <w:tab w:val="clear" w:pos="426"/>
        </w:tabs>
        <w:ind w:firstLine="424" w:firstLineChars="202"/>
        <w:rPr>
          <w:rFonts w:cs="Arial"/>
          <w:bCs/>
          <w:szCs w:val="21"/>
        </w:rPr>
      </w:pPr>
    </w:p>
    <w:p>
      <w:pPr>
        <w:tabs>
          <w:tab w:val="clear" w:pos="426"/>
        </w:tabs>
        <w:ind w:firstLine="424" w:firstLineChars="202"/>
        <w:rPr>
          <w:rFonts w:cs="Arial"/>
          <w:bCs/>
          <w:szCs w:val="21"/>
        </w:rPr>
      </w:pPr>
    </w:p>
    <w:p>
      <w:pPr>
        <w:numPr>
          <w:ilvl w:val="0"/>
          <w:numId w:val="6"/>
        </w:numPr>
        <w:adjustRightInd/>
        <w:snapToGrid/>
        <w:spacing w:before="280" w:after="290" w:line="377" w:lineRule="auto"/>
        <w:outlineLvl w:val="2"/>
        <w:rPr>
          <w:b/>
          <w:sz w:val="24"/>
        </w:rPr>
      </w:pPr>
      <w:r>
        <w:rPr>
          <w:rFonts w:cs="Arial"/>
          <w:bCs/>
        </w:rPr>
        <w:br w:type="page"/>
      </w:r>
      <w:bookmarkStart w:id="177" w:name="_Toc32020"/>
      <w:r>
        <w:rPr>
          <w:rFonts w:hint="eastAsia"/>
          <w:b/>
          <w:sz w:val="24"/>
        </w:rPr>
        <w:t>技术规格偏离表</w:t>
      </w:r>
      <w:bookmarkEnd w:id="177"/>
    </w:p>
    <w:p>
      <w:pPr>
        <w:widowControl w:val="0"/>
        <w:shd w:val="clear" w:color="auto" w:fill="auto"/>
        <w:tabs>
          <w:tab w:val="clear" w:pos="426"/>
        </w:tabs>
        <w:adjustRightInd/>
        <w:snapToGrid/>
        <w:spacing w:line="300" w:lineRule="auto"/>
        <w:jc w:val="center"/>
        <w:rPr>
          <w:rFonts w:cs="Times New Roman"/>
          <w:bCs/>
          <w:kern w:val="2"/>
          <w:sz w:val="32"/>
          <w:szCs w:val="32"/>
        </w:rPr>
      </w:pPr>
      <w:bookmarkStart w:id="178" w:name="_Toc480789484"/>
      <w:bookmarkStart w:id="179" w:name="_Toc480755934"/>
      <w:bookmarkStart w:id="180" w:name="_Toc480756080"/>
      <w:bookmarkStart w:id="181" w:name="_Toc480754213"/>
      <w:r>
        <w:rPr>
          <w:rFonts w:hint="eastAsia" w:cs="Times New Roman"/>
          <w:bCs/>
          <w:kern w:val="2"/>
          <w:sz w:val="32"/>
          <w:szCs w:val="32"/>
        </w:rPr>
        <w:t>技术规格偏离表</w:t>
      </w:r>
      <w:bookmarkEnd w:id="178"/>
      <w:bookmarkEnd w:id="179"/>
      <w:bookmarkEnd w:id="180"/>
      <w:bookmarkEnd w:id="181"/>
    </w:p>
    <w:p>
      <w:pPr>
        <w:tabs>
          <w:tab w:val="clear" w:pos="426"/>
        </w:tabs>
        <w:rPr>
          <w:rFonts w:cs="Arial"/>
          <w:bCs/>
          <w:szCs w:val="21"/>
        </w:rPr>
      </w:pPr>
    </w:p>
    <w:p>
      <w:pPr>
        <w:tabs>
          <w:tab w:val="clear" w:pos="426"/>
        </w:tabs>
        <w:rPr>
          <w:rFonts w:cs="Arial"/>
          <w:bCs/>
          <w:szCs w:val="21"/>
        </w:rPr>
      </w:pPr>
      <w:r>
        <w:rPr>
          <w:rFonts w:hint="eastAsia" w:cs="Arial"/>
          <w:bCs/>
          <w:szCs w:val="21"/>
        </w:rPr>
        <w:t>项目名称：</w:t>
      </w:r>
      <w:r>
        <w:rPr>
          <w:rFonts w:cs="Arial"/>
          <w:bCs/>
          <w:szCs w:val="21"/>
          <w:u w:val="single"/>
        </w:rPr>
        <w:t>________________________________</w:t>
      </w:r>
      <w:r>
        <w:rPr>
          <w:rFonts w:hint="eastAsia" w:cs="Arial"/>
          <w:bCs/>
          <w:szCs w:val="21"/>
        </w:rPr>
        <w:t>招标项目编号：</w:t>
      </w:r>
      <w:r>
        <w:rPr>
          <w:rFonts w:cs="Arial"/>
          <w:bCs/>
          <w:szCs w:val="21"/>
          <w:u w:val="single"/>
        </w:rPr>
        <w:t>_______________</w:t>
      </w:r>
      <w:r>
        <w:rPr>
          <w:rFonts w:hint="eastAsia" w:cs="Arial"/>
          <w:bCs/>
          <w:szCs w:val="21"/>
        </w:rPr>
        <w:t>包号：</w:t>
      </w:r>
      <w:r>
        <w:rPr>
          <w:rFonts w:cs="Arial"/>
          <w:bCs/>
          <w:szCs w:val="21"/>
          <w:u w:val="single"/>
        </w:rPr>
        <w:t>____________</w:t>
      </w:r>
    </w:p>
    <w:tbl>
      <w:tblPr>
        <w:tblStyle w:val="8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2375"/>
        <w:gridCol w:w="1593"/>
        <w:gridCol w:w="1593"/>
        <w:gridCol w:w="1594"/>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Align w:val="center"/>
          </w:tcPr>
          <w:p>
            <w:pPr>
              <w:tabs>
                <w:tab w:val="clear" w:pos="426"/>
              </w:tabs>
              <w:adjustRightInd/>
              <w:snapToGrid/>
              <w:spacing w:line="240" w:lineRule="auto"/>
              <w:jc w:val="center"/>
              <w:rPr>
                <w:rFonts w:cs="Arial"/>
                <w:bCs/>
                <w:szCs w:val="21"/>
              </w:rPr>
            </w:pPr>
            <w:r>
              <w:rPr>
                <w:rFonts w:hint="eastAsia" w:cs="Arial"/>
                <w:bCs/>
                <w:szCs w:val="21"/>
              </w:rPr>
              <w:t>序号</w:t>
            </w:r>
          </w:p>
        </w:tc>
        <w:tc>
          <w:tcPr>
            <w:tcW w:w="2375" w:type="dxa"/>
            <w:vAlign w:val="center"/>
          </w:tcPr>
          <w:p>
            <w:pPr>
              <w:tabs>
                <w:tab w:val="clear" w:pos="426"/>
              </w:tabs>
              <w:adjustRightInd/>
              <w:snapToGrid/>
              <w:spacing w:line="240" w:lineRule="auto"/>
              <w:jc w:val="center"/>
              <w:rPr>
                <w:rFonts w:cs="Arial"/>
                <w:bCs/>
                <w:szCs w:val="21"/>
              </w:rPr>
            </w:pPr>
            <w:r>
              <w:rPr>
                <w:rFonts w:hint="eastAsia" w:cs="Arial"/>
                <w:bCs/>
                <w:szCs w:val="21"/>
              </w:rPr>
              <w:t>货物名称</w:t>
            </w:r>
          </w:p>
        </w:tc>
        <w:tc>
          <w:tcPr>
            <w:tcW w:w="1593" w:type="dxa"/>
            <w:vAlign w:val="center"/>
          </w:tcPr>
          <w:p>
            <w:pPr>
              <w:tabs>
                <w:tab w:val="clear" w:pos="426"/>
              </w:tabs>
              <w:adjustRightInd/>
              <w:snapToGrid/>
              <w:spacing w:line="240" w:lineRule="auto"/>
              <w:jc w:val="center"/>
              <w:rPr>
                <w:rFonts w:cs="Arial"/>
                <w:bCs/>
                <w:szCs w:val="21"/>
              </w:rPr>
            </w:pPr>
            <w:r>
              <w:rPr>
                <w:rFonts w:hint="eastAsia" w:cs="Arial"/>
                <w:bCs/>
                <w:szCs w:val="21"/>
              </w:rPr>
              <w:t>招标技术要求</w:t>
            </w:r>
          </w:p>
        </w:tc>
        <w:tc>
          <w:tcPr>
            <w:tcW w:w="1593" w:type="dxa"/>
            <w:vAlign w:val="center"/>
          </w:tcPr>
          <w:p>
            <w:pPr>
              <w:tabs>
                <w:tab w:val="clear" w:pos="426"/>
              </w:tabs>
              <w:adjustRightInd/>
              <w:snapToGrid/>
              <w:spacing w:line="240" w:lineRule="auto"/>
              <w:jc w:val="center"/>
              <w:rPr>
                <w:rFonts w:cs="Arial"/>
                <w:bCs/>
                <w:szCs w:val="21"/>
              </w:rPr>
            </w:pPr>
            <w:r>
              <w:rPr>
                <w:rFonts w:hint="eastAsia" w:cs="Arial"/>
                <w:bCs/>
                <w:szCs w:val="21"/>
              </w:rPr>
              <w:t>投标技术响应</w:t>
            </w:r>
          </w:p>
        </w:tc>
        <w:tc>
          <w:tcPr>
            <w:tcW w:w="1594" w:type="dxa"/>
            <w:vAlign w:val="center"/>
          </w:tcPr>
          <w:p>
            <w:pPr>
              <w:tabs>
                <w:tab w:val="clear" w:pos="426"/>
              </w:tabs>
              <w:adjustRightInd/>
              <w:snapToGrid/>
              <w:spacing w:line="240" w:lineRule="auto"/>
              <w:jc w:val="center"/>
              <w:rPr>
                <w:rFonts w:cs="Arial"/>
                <w:bCs/>
                <w:szCs w:val="21"/>
              </w:rPr>
            </w:pPr>
            <w:r>
              <w:rPr>
                <w:rFonts w:hint="eastAsia" w:cs="Arial"/>
                <w:bCs/>
                <w:szCs w:val="21"/>
              </w:rPr>
              <w:t>偏离情况</w:t>
            </w:r>
          </w:p>
        </w:tc>
        <w:tc>
          <w:tcPr>
            <w:tcW w:w="1594" w:type="dxa"/>
            <w:vAlign w:val="center"/>
          </w:tcPr>
          <w:p>
            <w:pPr>
              <w:tabs>
                <w:tab w:val="clear" w:pos="426"/>
              </w:tabs>
              <w:adjustRightInd/>
              <w:snapToGrid/>
              <w:spacing w:line="240" w:lineRule="auto"/>
              <w:jc w:val="center"/>
              <w:rPr>
                <w:rFonts w:cs="Arial"/>
                <w:bCs/>
                <w:szCs w:val="21"/>
              </w:rPr>
            </w:pPr>
            <w:r>
              <w:rPr>
                <w:rFonts w:hint="eastAsia" w:cs="Arial"/>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Align w:val="center"/>
          </w:tcPr>
          <w:p>
            <w:pPr>
              <w:tabs>
                <w:tab w:val="clear" w:pos="426"/>
              </w:tabs>
              <w:adjustRightInd/>
              <w:snapToGrid/>
              <w:spacing w:line="240" w:lineRule="auto"/>
              <w:jc w:val="center"/>
              <w:rPr>
                <w:rFonts w:cs="Arial"/>
                <w:bCs/>
                <w:szCs w:val="21"/>
              </w:rPr>
            </w:pPr>
            <w:r>
              <w:rPr>
                <w:rFonts w:cs="Arial"/>
                <w:bCs/>
                <w:szCs w:val="21"/>
              </w:rPr>
              <w:t>1</w:t>
            </w:r>
          </w:p>
        </w:tc>
        <w:tc>
          <w:tcPr>
            <w:tcW w:w="2375" w:type="dxa"/>
            <w:vAlign w:val="center"/>
          </w:tcPr>
          <w:p>
            <w:pPr>
              <w:tabs>
                <w:tab w:val="clear" w:pos="426"/>
              </w:tabs>
              <w:adjustRightInd/>
              <w:snapToGrid/>
              <w:spacing w:line="240" w:lineRule="auto"/>
              <w:jc w:val="center"/>
              <w:rPr>
                <w:rFonts w:cs="Arial"/>
                <w:bCs/>
                <w:szCs w:val="21"/>
              </w:rPr>
            </w:pPr>
          </w:p>
        </w:tc>
        <w:tc>
          <w:tcPr>
            <w:tcW w:w="1593" w:type="dxa"/>
            <w:vAlign w:val="center"/>
          </w:tcPr>
          <w:p>
            <w:pPr>
              <w:tabs>
                <w:tab w:val="clear" w:pos="426"/>
              </w:tabs>
              <w:adjustRightInd/>
              <w:snapToGrid/>
              <w:spacing w:line="240" w:lineRule="auto"/>
              <w:jc w:val="center"/>
              <w:rPr>
                <w:rFonts w:cs="Arial"/>
                <w:bCs/>
                <w:szCs w:val="21"/>
              </w:rPr>
            </w:pPr>
          </w:p>
        </w:tc>
        <w:tc>
          <w:tcPr>
            <w:tcW w:w="1593" w:type="dxa"/>
            <w:vAlign w:val="center"/>
          </w:tcPr>
          <w:p>
            <w:pPr>
              <w:tabs>
                <w:tab w:val="clear" w:pos="426"/>
              </w:tabs>
              <w:adjustRightInd/>
              <w:snapToGrid/>
              <w:spacing w:line="240" w:lineRule="auto"/>
              <w:jc w:val="center"/>
              <w:rPr>
                <w:rFonts w:cs="Arial"/>
                <w:bCs/>
                <w:szCs w:val="21"/>
              </w:rPr>
            </w:pPr>
          </w:p>
        </w:tc>
        <w:tc>
          <w:tcPr>
            <w:tcW w:w="1594" w:type="dxa"/>
            <w:vAlign w:val="center"/>
          </w:tcPr>
          <w:p>
            <w:pPr>
              <w:tabs>
                <w:tab w:val="clear" w:pos="426"/>
              </w:tabs>
              <w:adjustRightInd/>
              <w:snapToGrid/>
              <w:spacing w:line="240" w:lineRule="auto"/>
              <w:jc w:val="center"/>
              <w:rPr>
                <w:rFonts w:cs="Arial"/>
                <w:bCs/>
                <w:szCs w:val="21"/>
              </w:rPr>
            </w:pPr>
          </w:p>
        </w:tc>
        <w:tc>
          <w:tcPr>
            <w:tcW w:w="1594" w:type="dxa"/>
            <w:vAlign w:val="center"/>
          </w:tcPr>
          <w:p>
            <w:pPr>
              <w:tabs>
                <w:tab w:val="clear" w:pos="426"/>
              </w:tabs>
              <w:adjustRightInd/>
              <w:snapToGrid/>
              <w:spacing w:line="240" w:lineRule="auto"/>
              <w:jc w:val="center"/>
              <w:rPr>
                <w:rFonts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Align w:val="center"/>
          </w:tcPr>
          <w:p>
            <w:pPr>
              <w:tabs>
                <w:tab w:val="clear" w:pos="426"/>
              </w:tabs>
              <w:adjustRightInd/>
              <w:snapToGrid/>
              <w:spacing w:line="240" w:lineRule="auto"/>
              <w:jc w:val="center"/>
              <w:rPr>
                <w:rFonts w:cs="Arial"/>
                <w:bCs/>
                <w:szCs w:val="21"/>
              </w:rPr>
            </w:pPr>
            <w:r>
              <w:rPr>
                <w:rFonts w:cs="Arial"/>
                <w:bCs/>
                <w:szCs w:val="21"/>
              </w:rPr>
              <w:t>2</w:t>
            </w:r>
          </w:p>
        </w:tc>
        <w:tc>
          <w:tcPr>
            <w:tcW w:w="2375" w:type="dxa"/>
            <w:vAlign w:val="center"/>
          </w:tcPr>
          <w:p>
            <w:pPr>
              <w:tabs>
                <w:tab w:val="clear" w:pos="426"/>
              </w:tabs>
              <w:adjustRightInd/>
              <w:snapToGrid/>
              <w:spacing w:line="240" w:lineRule="auto"/>
              <w:jc w:val="center"/>
              <w:rPr>
                <w:rFonts w:cs="Arial"/>
                <w:bCs/>
                <w:szCs w:val="21"/>
              </w:rPr>
            </w:pPr>
          </w:p>
        </w:tc>
        <w:tc>
          <w:tcPr>
            <w:tcW w:w="1593" w:type="dxa"/>
            <w:vAlign w:val="center"/>
          </w:tcPr>
          <w:p>
            <w:pPr>
              <w:tabs>
                <w:tab w:val="clear" w:pos="426"/>
              </w:tabs>
              <w:adjustRightInd/>
              <w:snapToGrid/>
              <w:spacing w:line="240" w:lineRule="auto"/>
              <w:jc w:val="center"/>
              <w:rPr>
                <w:rFonts w:cs="Arial"/>
                <w:bCs/>
                <w:szCs w:val="21"/>
              </w:rPr>
            </w:pPr>
          </w:p>
        </w:tc>
        <w:tc>
          <w:tcPr>
            <w:tcW w:w="1593" w:type="dxa"/>
            <w:vAlign w:val="center"/>
          </w:tcPr>
          <w:p>
            <w:pPr>
              <w:tabs>
                <w:tab w:val="clear" w:pos="426"/>
              </w:tabs>
              <w:adjustRightInd/>
              <w:snapToGrid/>
              <w:spacing w:line="240" w:lineRule="auto"/>
              <w:jc w:val="center"/>
              <w:rPr>
                <w:rFonts w:cs="Arial"/>
                <w:bCs/>
                <w:szCs w:val="21"/>
              </w:rPr>
            </w:pPr>
          </w:p>
        </w:tc>
        <w:tc>
          <w:tcPr>
            <w:tcW w:w="1594" w:type="dxa"/>
            <w:vAlign w:val="center"/>
          </w:tcPr>
          <w:p>
            <w:pPr>
              <w:tabs>
                <w:tab w:val="clear" w:pos="426"/>
              </w:tabs>
              <w:adjustRightInd/>
              <w:snapToGrid/>
              <w:spacing w:line="240" w:lineRule="auto"/>
              <w:jc w:val="center"/>
              <w:rPr>
                <w:rFonts w:cs="Arial"/>
                <w:bCs/>
                <w:szCs w:val="21"/>
              </w:rPr>
            </w:pPr>
          </w:p>
        </w:tc>
        <w:tc>
          <w:tcPr>
            <w:tcW w:w="1594" w:type="dxa"/>
            <w:vAlign w:val="center"/>
          </w:tcPr>
          <w:p>
            <w:pPr>
              <w:tabs>
                <w:tab w:val="clear" w:pos="426"/>
              </w:tabs>
              <w:adjustRightInd/>
              <w:snapToGrid/>
              <w:spacing w:line="240" w:lineRule="auto"/>
              <w:jc w:val="center"/>
              <w:rPr>
                <w:rFonts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Align w:val="center"/>
          </w:tcPr>
          <w:p>
            <w:pPr>
              <w:tabs>
                <w:tab w:val="clear" w:pos="426"/>
              </w:tabs>
              <w:adjustRightInd/>
              <w:snapToGrid/>
              <w:spacing w:line="240" w:lineRule="auto"/>
              <w:jc w:val="center"/>
              <w:rPr>
                <w:rFonts w:cs="Arial"/>
                <w:bCs/>
                <w:szCs w:val="21"/>
              </w:rPr>
            </w:pPr>
            <w:r>
              <w:rPr>
                <w:rFonts w:cs="Arial"/>
                <w:bCs/>
                <w:szCs w:val="21"/>
              </w:rPr>
              <w:t>3</w:t>
            </w:r>
          </w:p>
        </w:tc>
        <w:tc>
          <w:tcPr>
            <w:tcW w:w="2375" w:type="dxa"/>
            <w:vAlign w:val="center"/>
          </w:tcPr>
          <w:p>
            <w:pPr>
              <w:tabs>
                <w:tab w:val="clear" w:pos="426"/>
              </w:tabs>
              <w:adjustRightInd/>
              <w:snapToGrid/>
              <w:spacing w:line="240" w:lineRule="auto"/>
              <w:jc w:val="center"/>
              <w:rPr>
                <w:rFonts w:cs="Arial"/>
                <w:bCs/>
                <w:szCs w:val="21"/>
              </w:rPr>
            </w:pPr>
          </w:p>
        </w:tc>
        <w:tc>
          <w:tcPr>
            <w:tcW w:w="1593" w:type="dxa"/>
            <w:vAlign w:val="center"/>
          </w:tcPr>
          <w:p>
            <w:pPr>
              <w:tabs>
                <w:tab w:val="clear" w:pos="426"/>
              </w:tabs>
              <w:adjustRightInd/>
              <w:snapToGrid/>
              <w:spacing w:line="240" w:lineRule="auto"/>
              <w:jc w:val="center"/>
              <w:rPr>
                <w:rFonts w:cs="Arial"/>
                <w:bCs/>
                <w:szCs w:val="21"/>
              </w:rPr>
            </w:pPr>
          </w:p>
        </w:tc>
        <w:tc>
          <w:tcPr>
            <w:tcW w:w="1593" w:type="dxa"/>
            <w:vAlign w:val="center"/>
          </w:tcPr>
          <w:p>
            <w:pPr>
              <w:tabs>
                <w:tab w:val="clear" w:pos="426"/>
              </w:tabs>
              <w:adjustRightInd/>
              <w:snapToGrid/>
              <w:spacing w:line="240" w:lineRule="auto"/>
              <w:jc w:val="center"/>
              <w:rPr>
                <w:rFonts w:cs="Arial"/>
                <w:bCs/>
                <w:szCs w:val="21"/>
              </w:rPr>
            </w:pPr>
          </w:p>
        </w:tc>
        <w:tc>
          <w:tcPr>
            <w:tcW w:w="1594" w:type="dxa"/>
            <w:vAlign w:val="center"/>
          </w:tcPr>
          <w:p>
            <w:pPr>
              <w:tabs>
                <w:tab w:val="clear" w:pos="426"/>
              </w:tabs>
              <w:adjustRightInd/>
              <w:snapToGrid/>
              <w:spacing w:line="240" w:lineRule="auto"/>
              <w:jc w:val="center"/>
              <w:rPr>
                <w:rFonts w:cs="Arial"/>
                <w:bCs/>
                <w:szCs w:val="21"/>
              </w:rPr>
            </w:pPr>
          </w:p>
        </w:tc>
        <w:tc>
          <w:tcPr>
            <w:tcW w:w="1594" w:type="dxa"/>
            <w:vAlign w:val="center"/>
          </w:tcPr>
          <w:p>
            <w:pPr>
              <w:tabs>
                <w:tab w:val="clear" w:pos="426"/>
              </w:tabs>
              <w:adjustRightInd/>
              <w:snapToGrid/>
              <w:spacing w:line="240" w:lineRule="auto"/>
              <w:jc w:val="center"/>
              <w:rPr>
                <w:rFonts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Align w:val="center"/>
          </w:tcPr>
          <w:p>
            <w:pPr>
              <w:tabs>
                <w:tab w:val="clear" w:pos="426"/>
              </w:tabs>
              <w:adjustRightInd/>
              <w:snapToGrid/>
              <w:spacing w:line="240" w:lineRule="auto"/>
              <w:jc w:val="center"/>
              <w:rPr>
                <w:rFonts w:cs="Arial"/>
                <w:bCs/>
                <w:szCs w:val="21"/>
              </w:rPr>
            </w:pPr>
            <w:r>
              <w:rPr>
                <w:rFonts w:hint="eastAsia" w:cs="Arial"/>
                <w:bCs/>
                <w:szCs w:val="21"/>
              </w:rPr>
              <w:t>……</w:t>
            </w:r>
          </w:p>
        </w:tc>
        <w:tc>
          <w:tcPr>
            <w:tcW w:w="2375" w:type="dxa"/>
            <w:vAlign w:val="center"/>
          </w:tcPr>
          <w:p>
            <w:pPr>
              <w:tabs>
                <w:tab w:val="clear" w:pos="426"/>
              </w:tabs>
              <w:adjustRightInd/>
              <w:snapToGrid/>
              <w:spacing w:line="240" w:lineRule="auto"/>
              <w:jc w:val="center"/>
              <w:rPr>
                <w:rFonts w:cs="Arial"/>
                <w:bCs/>
                <w:szCs w:val="21"/>
              </w:rPr>
            </w:pPr>
          </w:p>
        </w:tc>
        <w:tc>
          <w:tcPr>
            <w:tcW w:w="1593" w:type="dxa"/>
            <w:vAlign w:val="center"/>
          </w:tcPr>
          <w:p>
            <w:pPr>
              <w:tabs>
                <w:tab w:val="clear" w:pos="426"/>
              </w:tabs>
              <w:adjustRightInd/>
              <w:snapToGrid/>
              <w:spacing w:line="240" w:lineRule="auto"/>
              <w:jc w:val="center"/>
              <w:rPr>
                <w:rFonts w:cs="Arial"/>
                <w:bCs/>
                <w:szCs w:val="21"/>
              </w:rPr>
            </w:pPr>
          </w:p>
        </w:tc>
        <w:tc>
          <w:tcPr>
            <w:tcW w:w="1593" w:type="dxa"/>
            <w:vAlign w:val="center"/>
          </w:tcPr>
          <w:p>
            <w:pPr>
              <w:tabs>
                <w:tab w:val="clear" w:pos="426"/>
              </w:tabs>
              <w:adjustRightInd/>
              <w:snapToGrid/>
              <w:spacing w:line="240" w:lineRule="auto"/>
              <w:jc w:val="center"/>
              <w:rPr>
                <w:rFonts w:cs="Arial"/>
                <w:bCs/>
                <w:szCs w:val="21"/>
              </w:rPr>
            </w:pPr>
          </w:p>
        </w:tc>
        <w:tc>
          <w:tcPr>
            <w:tcW w:w="1594" w:type="dxa"/>
            <w:vAlign w:val="center"/>
          </w:tcPr>
          <w:p>
            <w:pPr>
              <w:tabs>
                <w:tab w:val="clear" w:pos="426"/>
              </w:tabs>
              <w:adjustRightInd/>
              <w:snapToGrid/>
              <w:spacing w:line="240" w:lineRule="auto"/>
              <w:jc w:val="center"/>
              <w:rPr>
                <w:rFonts w:cs="Arial"/>
                <w:bCs/>
                <w:szCs w:val="21"/>
              </w:rPr>
            </w:pPr>
          </w:p>
        </w:tc>
        <w:tc>
          <w:tcPr>
            <w:tcW w:w="1594" w:type="dxa"/>
            <w:vAlign w:val="center"/>
          </w:tcPr>
          <w:p>
            <w:pPr>
              <w:tabs>
                <w:tab w:val="clear" w:pos="426"/>
              </w:tabs>
              <w:adjustRightInd/>
              <w:snapToGrid/>
              <w:spacing w:line="240" w:lineRule="auto"/>
              <w:jc w:val="center"/>
              <w:rPr>
                <w:rFonts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Align w:val="center"/>
          </w:tcPr>
          <w:p>
            <w:pPr>
              <w:tabs>
                <w:tab w:val="clear" w:pos="426"/>
              </w:tabs>
              <w:adjustRightInd/>
              <w:snapToGrid/>
              <w:spacing w:line="240" w:lineRule="auto"/>
              <w:jc w:val="center"/>
              <w:rPr>
                <w:rFonts w:cs="Arial"/>
                <w:bCs/>
                <w:szCs w:val="21"/>
              </w:rPr>
            </w:pPr>
            <w:r>
              <w:rPr>
                <w:rFonts w:hint="eastAsia" w:cs="Arial"/>
                <w:bCs/>
                <w:szCs w:val="21"/>
              </w:rPr>
              <w:t>……</w:t>
            </w:r>
          </w:p>
        </w:tc>
        <w:tc>
          <w:tcPr>
            <w:tcW w:w="2375" w:type="dxa"/>
            <w:vAlign w:val="center"/>
          </w:tcPr>
          <w:p>
            <w:pPr>
              <w:tabs>
                <w:tab w:val="clear" w:pos="426"/>
              </w:tabs>
              <w:adjustRightInd/>
              <w:snapToGrid/>
              <w:spacing w:line="240" w:lineRule="auto"/>
              <w:jc w:val="center"/>
              <w:rPr>
                <w:rFonts w:cs="Arial"/>
                <w:bCs/>
                <w:szCs w:val="21"/>
              </w:rPr>
            </w:pPr>
          </w:p>
        </w:tc>
        <w:tc>
          <w:tcPr>
            <w:tcW w:w="1593" w:type="dxa"/>
            <w:vAlign w:val="center"/>
          </w:tcPr>
          <w:p>
            <w:pPr>
              <w:tabs>
                <w:tab w:val="clear" w:pos="426"/>
              </w:tabs>
              <w:adjustRightInd/>
              <w:snapToGrid/>
              <w:spacing w:line="240" w:lineRule="auto"/>
              <w:jc w:val="center"/>
              <w:rPr>
                <w:rFonts w:cs="Arial"/>
                <w:bCs/>
                <w:szCs w:val="21"/>
              </w:rPr>
            </w:pPr>
          </w:p>
        </w:tc>
        <w:tc>
          <w:tcPr>
            <w:tcW w:w="1593" w:type="dxa"/>
            <w:vAlign w:val="center"/>
          </w:tcPr>
          <w:p>
            <w:pPr>
              <w:tabs>
                <w:tab w:val="clear" w:pos="426"/>
              </w:tabs>
              <w:adjustRightInd/>
              <w:snapToGrid/>
              <w:spacing w:line="240" w:lineRule="auto"/>
              <w:jc w:val="center"/>
              <w:rPr>
                <w:rFonts w:cs="Arial"/>
                <w:bCs/>
                <w:szCs w:val="21"/>
              </w:rPr>
            </w:pPr>
          </w:p>
        </w:tc>
        <w:tc>
          <w:tcPr>
            <w:tcW w:w="1594" w:type="dxa"/>
            <w:vAlign w:val="center"/>
          </w:tcPr>
          <w:p>
            <w:pPr>
              <w:tabs>
                <w:tab w:val="clear" w:pos="426"/>
              </w:tabs>
              <w:adjustRightInd/>
              <w:snapToGrid/>
              <w:spacing w:line="240" w:lineRule="auto"/>
              <w:jc w:val="center"/>
              <w:rPr>
                <w:rFonts w:cs="Arial"/>
                <w:bCs/>
                <w:szCs w:val="21"/>
              </w:rPr>
            </w:pPr>
          </w:p>
        </w:tc>
        <w:tc>
          <w:tcPr>
            <w:tcW w:w="1594" w:type="dxa"/>
            <w:vAlign w:val="center"/>
          </w:tcPr>
          <w:p>
            <w:pPr>
              <w:tabs>
                <w:tab w:val="clear" w:pos="426"/>
              </w:tabs>
              <w:adjustRightInd/>
              <w:snapToGrid/>
              <w:spacing w:line="240" w:lineRule="auto"/>
              <w:jc w:val="center"/>
              <w:rPr>
                <w:rFonts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Align w:val="center"/>
          </w:tcPr>
          <w:p>
            <w:pPr>
              <w:tabs>
                <w:tab w:val="clear" w:pos="426"/>
              </w:tabs>
              <w:adjustRightInd/>
              <w:snapToGrid/>
              <w:spacing w:line="240" w:lineRule="auto"/>
              <w:jc w:val="center"/>
              <w:rPr>
                <w:rFonts w:cs="Arial"/>
                <w:bCs/>
                <w:szCs w:val="21"/>
              </w:rPr>
            </w:pPr>
          </w:p>
        </w:tc>
        <w:tc>
          <w:tcPr>
            <w:tcW w:w="2375" w:type="dxa"/>
            <w:vAlign w:val="center"/>
          </w:tcPr>
          <w:p>
            <w:pPr>
              <w:tabs>
                <w:tab w:val="clear" w:pos="426"/>
              </w:tabs>
              <w:adjustRightInd/>
              <w:snapToGrid/>
              <w:spacing w:line="240" w:lineRule="auto"/>
              <w:jc w:val="center"/>
              <w:rPr>
                <w:rFonts w:cs="Arial"/>
                <w:bCs/>
                <w:szCs w:val="21"/>
              </w:rPr>
            </w:pPr>
          </w:p>
        </w:tc>
        <w:tc>
          <w:tcPr>
            <w:tcW w:w="1593" w:type="dxa"/>
            <w:vAlign w:val="center"/>
          </w:tcPr>
          <w:p>
            <w:pPr>
              <w:tabs>
                <w:tab w:val="clear" w:pos="426"/>
              </w:tabs>
              <w:adjustRightInd/>
              <w:snapToGrid/>
              <w:spacing w:line="240" w:lineRule="auto"/>
              <w:jc w:val="center"/>
              <w:rPr>
                <w:rFonts w:cs="Arial"/>
                <w:bCs/>
                <w:szCs w:val="21"/>
              </w:rPr>
            </w:pPr>
          </w:p>
        </w:tc>
        <w:tc>
          <w:tcPr>
            <w:tcW w:w="1593" w:type="dxa"/>
            <w:vAlign w:val="center"/>
          </w:tcPr>
          <w:p>
            <w:pPr>
              <w:tabs>
                <w:tab w:val="clear" w:pos="426"/>
              </w:tabs>
              <w:adjustRightInd/>
              <w:snapToGrid/>
              <w:spacing w:line="240" w:lineRule="auto"/>
              <w:jc w:val="center"/>
              <w:rPr>
                <w:rFonts w:cs="Arial"/>
                <w:bCs/>
                <w:szCs w:val="21"/>
              </w:rPr>
            </w:pPr>
          </w:p>
        </w:tc>
        <w:tc>
          <w:tcPr>
            <w:tcW w:w="1594" w:type="dxa"/>
            <w:vAlign w:val="center"/>
          </w:tcPr>
          <w:p>
            <w:pPr>
              <w:tabs>
                <w:tab w:val="clear" w:pos="426"/>
              </w:tabs>
              <w:adjustRightInd/>
              <w:snapToGrid/>
              <w:spacing w:line="240" w:lineRule="auto"/>
              <w:jc w:val="center"/>
              <w:rPr>
                <w:rFonts w:cs="Arial"/>
                <w:bCs/>
                <w:szCs w:val="21"/>
              </w:rPr>
            </w:pPr>
          </w:p>
        </w:tc>
        <w:tc>
          <w:tcPr>
            <w:tcW w:w="1594" w:type="dxa"/>
            <w:vAlign w:val="center"/>
          </w:tcPr>
          <w:p>
            <w:pPr>
              <w:tabs>
                <w:tab w:val="clear" w:pos="426"/>
              </w:tabs>
              <w:adjustRightInd/>
              <w:snapToGrid/>
              <w:spacing w:line="240" w:lineRule="auto"/>
              <w:jc w:val="center"/>
              <w:rPr>
                <w:rFonts w:cs="Arial"/>
                <w:bCs/>
                <w:szCs w:val="21"/>
              </w:rPr>
            </w:pPr>
          </w:p>
        </w:tc>
      </w:tr>
    </w:tbl>
    <w:p>
      <w:pPr>
        <w:tabs>
          <w:tab w:val="clear" w:pos="426"/>
        </w:tabs>
        <w:spacing w:line="240" w:lineRule="auto"/>
        <w:rPr>
          <w:rFonts w:cs="Arial"/>
          <w:bCs/>
          <w:szCs w:val="21"/>
        </w:rPr>
      </w:pPr>
      <w:bookmarkStart w:id="182" w:name="_Hlk535526122"/>
      <w:r>
        <w:rPr>
          <w:rFonts w:hint="eastAsia" w:cs="Arial"/>
          <w:bCs/>
          <w:szCs w:val="21"/>
        </w:rPr>
        <w:t>备注：</w:t>
      </w:r>
    </w:p>
    <w:p>
      <w:pPr>
        <w:tabs>
          <w:tab w:val="clear" w:pos="426"/>
        </w:tabs>
        <w:spacing w:line="240" w:lineRule="auto"/>
        <w:ind w:firstLine="420" w:firstLineChars="200"/>
        <w:rPr>
          <w:rFonts w:cs="Arial"/>
          <w:bCs/>
          <w:szCs w:val="21"/>
        </w:rPr>
      </w:pPr>
      <w:r>
        <w:rPr>
          <w:rFonts w:cs="Arial"/>
          <w:bCs/>
          <w:szCs w:val="21"/>
        </w:rPr>
        <w:t>1.“招标技术要求”一栏应填写招标文件第三章“具体技术要求”的内容，"投标技术响应"一</w:t>
      </w:r>
      <w:r>
        <w:rPr>
          <w:rFonts w:hint="eastAsia" w:cs="Arial"/>
          <w:bCs/>
          <w:szCs w:val="21"/>
        </w:rPr>
        <w:t>栏必须详细填写投标产品的具体参数，否则评标委员会有权认定为不合格响应，“偏离情况”一栏应如实填写“正偏离”、“负偏离”或“无偏离”。</w:t>
      </w:r>
    </w:p>
    <w:p>
      <w:pPr>
        <w:tabs>
          <w:tab w:val="clear" w:pos="426"/>
        </w:tabs>
        <w:spacing w:line="240" w:lineRule="auto"/>
        <w:ind w:firstLine="420" w:firstLineChars="200"/>
        <w:rPr>
          <w:rFonts w:cs="Arial"/>
          <w:bCs/>
          <w:szCs w:val="21"/>
        </w:rPr>
      </w:pPr>
      <w:r>
        <w:rPr>
          <w:rFonts w:cs="Arial"/>
          <w:bCs/>
          <w:szCs w:val="21"/>
        </w:rPr>
        <w:t>2.若“招标技术要求”要求对投标产品的技术参数提供相应的证明资料，以证明投标人响应的真实性，投标人应按照招标文件的要求提供证明资料（例如：制造商公布的产品说明书、或产品彩页、或我国政府机构出具的产品检验和核准证件等）。投标人应在"说明"一栏中列出技术参数的证明资料名称，并指明该证明资料在投标文件中的具体位置。</w:t>
      </w:r>
    </w:p>
    <w:p>
      <w:pPr>
        <w:tabs>
          <w:tab w:val="clear" w:pos="426"/>
        </w:tabs>
        <w:spacing w:line="240" w:lineRule="auto"/>
        <w:ind w:firstLine="420" w:firstLineChars="200"/>
        <w:rPr>
          <w:rFonts w:cs="Arial"/>
          <w:bCs/>
          <w:szCs w:val="21"/>
        </w:rPr>
      </w:pPr>
      <w:r>
        <w:rPr>
          <w:rFonts w:hint="eastAsia" w:cs="Arial"/>
          <w:bCs/>
          <w:szCs w:val="21"/>
        </w:rPr>
        <w:t>若“招标技术要求”没有要求对投标产品的技术参数提供相应的证明资料，投标人所提供的《技术规格偏离表》即为对招标技术要求作出投标技术响应的书面承诺，投标人在中标后应严格按照承诺内容供货和履约，否则采购人有权将相关情况报政府采购主管部门并依据相关法律法规追究投标人的责任。</w:t>
      </w:r>
    </w:p>
    <w:p>
      <w:pPr>
        <w:tabs>
          <w:tab w:val="clear" w:pos="426"/>
        </w:tabs>
        <w:spacing w:line="240" w:lineRule="auto"/>
        <w:ind w:firstLine="420" w:firstLineChars="200"/>
        <w:rPr>
          <w:rFonts w:cs="Arial"/>
          <w:bCs/>
          <w:szCs w:val="21"/>
        </w:rPr>
      </w:pPr>
      <w:r>
        <w:rPr>
          <w:rFonts w:cs="Arial"/>
          <w:bCs/>
          <w:szCs w:val="21"/>
        </w:rPr>
        <w:t>3.证明资料（均为原件复印件）的提供要求：</w:t>
      </w:r>
    </w:p>
    <w:p>
      <w:pPr>
        <w:tabs>
          <w:tab w:val="clear" w:pos="426"/>
        </w:tabs>
        <w:spacing w:line="240" w:lineRule="auto"/>
        <w:ind w:firstLine="420" w:firstLineChars="200"/>
        <w:rPr>
          <w:rFonts w:cs="Arial"/>
          <w:bCs/>
          <w:szCs w:val="21"/>
        </w:rPr>
      </w:pPr>
      <w:r>
        <w:rPr>
          <w:rFonts w:hint="eastAsia" w:cs="Arial"/>
          <w:bCs/>
          <w:szCs w:val="21"/>
        </w:rPr>
        <w:t>（</w:t>
      </w:r>
      <w:r>
        <w:rPr>
          <w:rFonts w:cs="Arial"/>
          <w:bCs/>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纸质文件上被阅读、识别和判断；</w:t>
      </w:r>
    </w:p>
    <w:p>
      <w:pPr>
        <w:tabs>
          <w:tab w:val="clear" w:pos="426"/>
        </w:tabs>
        <w:spacing w:line="240" w:lineRule="auto"/>
        <w:ind w:firstLine="420" w:firstLineChars="200"/>
        <w:rPr>
          <w:rFonts w:cs="Arial"/>
          <w:bCs/>
          <w:szCs w:val="21"/>
        </w:rPr>
      </w:pPr>
      <w:r>
        <w:rPr>
          <w:rFonts w:hint="eastAsia" w:cs="Arial"/>
          <w:bCs/>
          <w:szCs w:val="21"/>
        </w:rPr>
        <w:t>（</w:t>
      </w:r>
      <w:r>
        <w:rPr>
          <w:rFonts w:cs="Arial"/>
          <w:bCs/>
          <w:szCs w:val="21"/>
        </w:rPr>
        <w:t>2）我国政府机构出具的产品检验和核准证件应为证件正面、背面和附件标注的全部具体内容；产品检验和核准证件的尺寸和清晰度应该能够被阅读、识别和判断。</w:t>
      </w:r>
    </w:p>
    <w:p>
      <w:pPr>
        <w:tabs>
          <w:tab w:val="clear" w:pos="426"/>
        </w:tabs>
        <w:spacing w:line="240" w:lineRule="auto"/>
        <w:ind w:firstLine="420" w:firstLineChars="200"/>
        <w:rPr>
          <w:rFonts w:cs="Arial"/>
          <w:bCs/>
          <w:szCs w:val="21"/>
        </w:rPr>
      </w:pPr>
      <w:r>
        <w:rPr>
          <w:rFonts w:hint="eastAsia" w:cs="Arial"/>
          <w:bCs/>
          <w:szCs w:val="21"/>
        </w:rPr>
        <w:t>（</w:t>
      </w:r>
      <w:r>
        <w:rPr>
          <w:rFonts w:cs="Arial"/>
          <w:bCs/>
          <w:szCs w:val="21"/>
        </w:rPr>
        <w:t>3）未达到以上提供要求的，评标委员会有权认定为不合格响应，其相关分数予以扣减。</w:t>
      </w:r>
    </w:p>
    <w:bookmarkEnd w:id="182"/>
    <w:p>
      <w:pPr>
        <w:tabs>
          <w:tab w:val="clear" w:pos="426"/>
        </w:tabs>
        <w:ind w:firstLine="420" w:firstLineChars="200"/>
        <w:rPr>
          <w:rFonts w:cs="Arial"/>
          <w:bCs/>
          <w:szCs w:val="21"/>
        </w:rPr>
      </w:pPr>
    </w:p>
    <w:p>
      <w:pPr>
        <w:shd w:val="clear" w:color="auto" w:fill="auto"/>
        <w:tabs>
          <w:tab w:val="clear" w:pos="426"/>
        </w:tabs>
        <w:adjustRightInd/>
        <w:snapToGrid/>
        <w:spacing w:line="240" w:lineRule="auto"/>
        <w:jc w:val="left"/>
        <w:rPr>
          <w:rFonts w:cs="Arial"/>
          <w:bCs/>
          <w:szCs w:val="21"/>
        </w:rPr>
      </w:pPr>
      <w:r>
        <w:rPr>
          <w:rFonts w:cs="Arial"/>
          <w:bCs/>
          <w:szCs w:val="21"/>
        </w:rPr>
        <w:br w:type="page"/>
      </w:r>
    </w:p>
    <w:p>
      <w:pPr>
        <w:numPr>
          <w:ilvl w:val="0"/>
          <w:numId w:val="6"/>
        </w:numPr>
        <w:adjustRightInd/>
        <w:snapToGrid/>
        <w:spacing w:before="280" w:after="290" w:line="377" w:lineRule="auto"/>
        <w:outlineLvl w:val="2"/>
        <w:rPr>
          <w:b/>
          <w:sz w:val="24"/>
        </w:rPr>
      </w:pPr>
      <w:bookmarkStart w:id="183" w:name="_Toc27255"/>
      <w:r>
        <w:rPr>
          <w:rFonts w:hint="eastAsia"/>
          <w:b/>
          <w:sz w:val="24"/>
        </w:rPr>
        <w:t>商务需求偏离表</w:t>
      </w:r>
      <w:bookmarkEnd w:id="183"/>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商务需求偏离表</w:t>
      </w:r>
    </w:p>
    <w:p>
      <w:pPr>
        <w:tabs>
          <w:tab w:val="clear" w:pos="426"/>
        </w:tabs>
        <w:rPr>
          <w:rFonts w:cs="Arial"/>
          <w:bCs/>
          <w:szCs w:val="21"/>
        </w:rPr>
      </w:pPr>
    </w:p>
    <w:p>
      <w:pPr>
        <w:tabs>
          <w:tab w:val="clear" w:pos="426"/>
        </w:tabs>
        <w:rPr>
          <w:rFonts w:cs="Arial"/>
          <w:bCs/>
          <w:szCs w:val="21"/>
        </w:rPr>
      </w:pPr>
      <w:r>
        <w:rPr>
          <w:rFonts w:hint="eastAsia" w:cs="Arial"/>
          <w:bCs/>
          <w:szCs w:val="21"/>
        </w:rPr>
        <w:t>项目名称：</w:t>
      </w:r>
      <w:r>
        <w:rPr>
          <w:rFonts w:cs="Arial"/>
          <w:bCs/>
          <w:szCs w:val="21"/>
          <w:u w:val="single"/>
        </w:rPr>
        <w:t>________________________________</w:t>
      </w:r>
      <w:r>
        <w:rPr>
          <w:rFonts w:hint="eastAsia" w:cs="Arial"/>
          <w:bCs/>
          <w:szCs w:val="21"/>
        </w:rPr>
        <w:t>招标项目编号：</w:t>
      </w:r>
      <w:r>
        <w:rPr>
          <w:rFonts w:cs="Arial"/>
          <w:bCs/>
          <w:szCs w:val="21"/>
          <w:u w:val="single"/>
        </w:rPr>
        <w:t>________________</w:t>
      </w:r>
      <w:r>
        <w:rPr>
          <w:rFonts w:hint="eastAsia" w:cs="Arial"/>
          <w:bCs/>
          <w:szCs w:val="21"/>
        </w:rPr>
        <w:t>包号：</w:t>
      </w:r>
      <w:r>
        <w:rPr>
          <w:rFonts w:cs="Arial"/>
          <w:bCs/>
          <w:szCs w:val="21"/>
          <w:u w:val="single"/>
        </w:rPr>
        <w:t>__________</w:t>
      </w:r>
    </w:p>
    <w:tbl>
      <w:tblPr>
        <w:tblStyle w:val="8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91"/>
        <w:gridCol w:w="1862"/>
        <w:gridCol w:w="2659"/>
        <w:gridCol w:w="1169"/>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tabs>
                <w:tab w:val="clear" w:pos="426"/>
              </w:tabs>
              <w:spacing w:line="240" w:lineRule="auto"/>
              <w:jc w:val="center"/>
            </w:pPr>
            <w:r>
              <w:rPr>
                <w:rFonts w:hint="eastAsia"/>
              </w:rPr>
              <w:t>序号</w:t>
            </w:r>
          </w:p>
        </w:tc>
        <w:tc>
          <w:tcPr>
            <w:tcW w:w="1291" w:type="dxa"/>
            <w:vAlign w:val="center"/>
          </w:tcPr>
          <w:p>
            <w:pPr>
              <w:tabs>
                <w:tab w:val="clear" w:pos="426"/>
              </w:tabs>
              <w:spacing w:line="240" w:lineRule="auto"/>
              <w:jc w:val="center"/>
            </w:pPr>
            <w:r>
              <w:rPr>
                <w:rFonts w:hint="eastAsia"/>
              </w:rPr>
              <w:t>目录</w:t>
            </w:r>
          </w:p>
        </w:tc>
        <w:tc>
          <w:tcPr>
            <w:tcW w:w="1862" w:type="dxa"/>
            <w:vAlign w:val="center"/>
          </w:tcPr>
          <w:p>
            <w:pPr>
              <w:tabs>
                <w:tab w:val="clear" w:pos="426"/>
              </w:tabs>
              <w:spacing w:line="240" w:lineRule="auto"/>
              <w:jc w:val="center"/>
            </w:pPr>
            <w:r>
              <w:rPr>
                <w:rFonts w:hint="eastAsia"/>
              </w:rPr>
              <w:t>招标商务条款</w:t>
            </w:r>
          </w:p>
        </w:tc>
        <w:tc>
          <w:tcPr>
            <w:tcW w:w="2659" w:type="dxa"/>
            <w:vAlign w:val="center"/>
          </w:tcPr>
          <w:p>
            <w:pPr>
              <w:tabs>
                <w:tab w:val="clear" w:pos="426"/>
              </w:tabs>
              <w:spacing w:line="240" w:lineRule="auto"/>
              <w:jc w:val="center"/>
            </w:pPr>
            <w:r>
              <w:rPr>
                <w:rFonts w:hint="eastAsia"/>
              </w:rPr>
              <w:t>投标商务响应</w:t>
            </w:r>
          </w:p>
        </w:tc>
        <w:tc>
          <w:tcPr>
            <w:tcW w:w="1169" w:type="dxa"/>
            <w:vAlign w:val="center"/>
          </w:tcPr>
          <w:p>
            <w:pPr>
              <w:tabs>
                <w:tab w:val="clear" w:pos="426"/>
              </w:tabs>
              <w:spacing w:line="240" w:lineRule="auto"/>
              <w:jc w:val="center"/>
            </w:pPr>
            <w:r>
              <w:rPr>
                <w:rFonts w:hint="eastAsia"/>
              </w:rPr>
              <w:t>偏离情况</w:t>
            </w:r>
          </w:p>
        </w:tc>
        <w:tc>
          <w:tcPr>
            <w:tcW w:w="1914" w:type="dxa"/>
            <w:vAlign w:val="center"/>
          </w:tcPr>
          <w:p>
            <w:pPr>
              <w:tabs>
                <w:tab w:val="clear" w:pos="426"/>
              </w:tabs>
              <w:spacing w:line="240" w:lineRule="auto"/>
              <w:jc w:val="center"/>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6"/>
            <w:vAlign w:val="center"/>
          </w:tcPr>
          <w:p>
            <w:pPr>
              <w:tabs>
                <w:tab w:val="clear" w:pos="426"/>
              </w:tabs>
              <w:spacing w:line="240" w:lineRule="auto"/>
              <w:jc w:val="left"/>
            </w:pPr>
            <w:bookmarkStart w:id="184" w:name="OLE_LINK28" w:colFirst="0" w:colLast="0"/>
            <w:r>
              <w:rPr>
                <w:rFonts w:hint="eastAsia"/>
                <w:szCs w:val="21"/>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tabs>
                <w:tab w:val="clear" w:pos="426"/>
              </w:tabs>
              <w:spacing w:line="240" w:lineRule="auto"/>
              <w:jc w:val="left"/>
            </w:pPr>
          </w:p>
        </w:tc>
        <w:tc>
          <w:tcPr>
            <w:tcW w:w="1291" w:type="dxa"/>
            <w:vAlign w:val="center"/>
          </w:tcPr>
          <w:p>
            <w:pPr>
              <w:tabs>
                <w:tab w:val="clear" w:pos="426"/>
              </w:tabs>
              <w:spacing w:line="240" w:lineRule="auto"/>
              <w:jc w:val="left"/>
            </w:pPr>
          </w:p>
        </w:tc>
        <w:tc>
          <w:tcPr>
            <w:tcW w:w="1862" w:type="dxa"/>
            <w:vAlign w:val="center"/>
          </w:tcPr>
          <w:p>
            <w:pPr>
              <w:tabs>
                <w:tab w:val="clear" w:pos="426"/>
              </w:tabs>
              <w:spacing w:line="240" w:lineRule="auto"/>
              <w:jc w:val="left"/>
            </w:pPr>
          </w:p>
        </w:tc>
        <w:tc>
          <w:tcPr>
            <w:tcW w:w="2659" w:type="dxa"/>
            <w:vAlign w:val="center"/>
          </w:tcPr>
          <w:p>
            <w:pPr>
              <w:tabs>
                <w:tab w:val="clear" w:pos="426"/>
              </w:tabs>
              <w:spacing w:line="240" w:lineRule="auto"/>
              <w:jc w:val="left"/>
            </w:pPr>
          </w:p>
        </w:tc>
        <w:tc>
          <w:tcPr>
            <w:tcW w:w="1169" w:type="dxa"/>
            <w:vAlign w:val="center"/>
          </w:tcPr>
          <w:p>
            <w:pPr>
              <w:tabs>
                <w:tab w:val="clear" w:pos="426"/>
              </w:tabs>
              <w:spacing w:line="240" w:lineRule="auto"/>
              <w:jc w:val="left"/>
            </w:pPr>
          </w:p>
        </w:tc>
        <w:tc>
          <w:tcPr>
            <w:tcW w:w="1914" w:type="dxa"/>
            <w:vAlign w:val="center"/>
          </w:tcPr>
          <w:p>
            <w:pPr>
              <w:tabs>
                <w:tab w:val="clear" w:pos="426"/>
              </w:tabs>
              <w:spacing w:line="24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tabs>
                <w:tab w:val="clear" w:pos="426"/>
              </w:tabs>
              <w:spacing w:line="240" w:lineRule="auto"/>
              <w:jc w:val="left"/>
            </w:pPr>
          </w:p>
        </w:tc>
        <w:tc>
          <w:tcPr>
            <w:tcW w:w="1291" w:type="dxa"/>
            <w:vAlign w:val="center"/>
          </w:tcPr>
          <w:p>
            <w:pPr>
              <w:tabs>
                <w:tab w:val="clear" w:pos="426"/>
              </w:tabs>
              <w:spacing w:line="240" w:lineRule="auto"/>
              <w:jc w:val="left"/>
            </w:pPr>
          </w:p>
        </w:tc>
        <w:tc>
          <w:tcPr>
            <w:tcW w:w="1862" w:type="dxa"/>
            <w:vAlign w:val="center"/>
          </w:tcPr>
          <w:p>
            <w:pPr>
              <w:tabs>
                <w:tab w:val="clear" w:pos="426"/>
              </w:tabs>
              <w:spacing w:line="240" w:lineRule="auto"/>
              <w:jc w:val="left"/>
            </w:pPr>
          </w:p>
        </w:tc>
        <w:tc>
          <w:tcPr>
            <w:tcW w:w="2659" w:type="dxa"/>
            <w:vAlign w:val="center"/>
          </w:tcPr>
          <w:p>
            <w:pPr>
              <w:tabs>
                <w:tab w:val="clear" w:pos="426"/>
              </w:tabs>
              <w:spacing w:line="240" w:lineRule="auto"/>
              <w:jc w:val="left"/>
            </w:pPr>
          </w:p>
        </w:tc>
        <w:tc>
          <w:tcPr>
            <w:tcW w:w="1169" w:type="dxa"/>
            <w:vAlign w:val="center"/>
          </w:tcPr>
          <w:p>
            <w:pPr>
              <w:tabs>
                <w:tab w:val="clear" w:pos="426"/>
              </w:tabs>
              <w:spacing w:line="240" w:lineRule="auto"/>
              <w:jc w:val="left"/>
            </w:pPr>
          </w:p>
        </w:tc>
        <w:tc>
          <w:tcPr>
            <w:tcW w:w="1914" w:type="dxa"/>
            <w:vAlign w:val="center"/>
          </w:tcPr>
          <w:p>
            <w:pPr>
              <w:tabs>
                <w:tab w:val="clear" w:pos="426"/>
              </w:tabs>
              <w:spacing w:line="24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6"/>
            <w:vAlign w:val="center"/>
          </w:tcPr>
          <w:p>
            <w:pPr>
              <w:tabs>
                <w:tab w:val="clear" w:pos="426"/>
              </w:tabs>
              <w:spacing w:line="240" w:lineRule="auto"/>
              <w:jc w:val="left"/>
            </w:pPr>
            <w:r>
              <w:rPr>
                <w:rFonts w:hint="eastAsia"/>
                <w:szCs w:val="21"/>
              </w:rPr>
              <w:t>（二）免费保修期外售后服务条款偏离表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tabs>
                <w:tab w:val="clear" w:pos="426"/>
              </w:tabs>
              <w:spacing w:line="240" w:lineRule="auto"/>
              <w:jc w:val="left"/>
            </w:pPr>
          </w:p>
        </w:tc>
        <w:tc>
          <w:tcPr>
            <w:tcW w:w="1291" w:type="dxa"/>
            <w:vAlign w:val="center"/>
          </w:tcPr>
          <w:p>
            <w:pPr>
              <w:tabs>
                <w:tab w:val="clear" w:pos="426"/>
              </w:tabs>
              <w:spacing w:line="240" w:lineRule="auto"/>
              <w:jc w:val="left"/>
            </w:pPr>
          </w:p>
        </w:tc>
        <w:tc>
          <w:tcPr>
            <w:tcW w:w="1862" w:type="dxa"/>
            <w:vAlign w:val="center"/>
          </w:tcPr>
          <w:p>
            <w:pPr>
              <w:tabs>
                <w:tab w:val="clear" w:pos="426"/>
              </w:tabs>
              <w:spacing w:line="240" w:lineRule="auto"/>
              <w:jc w:val="left"/>
            </w:pPr>
          </w:p>
        </w:tc>
        <w:tc>
          <w:tcPr>
            <w:tcW w:w="2659" w:type="dxa"/>
            <w:vAlign w:val="center"/>
          </w:tcPr>
          <w:p>
            <w:pPr>
              <w:tabs>
                <w:tab w:val="clear" w:pos="426"/>
              </w:tabs>
              <w:spacing w:line="240" w:lineRule="auto"/>
              <w:jc w:val="left"/>
            </w:pPr>
          </w:p>
        </w:tc>
        <w:tc>
          <w:tcPr>
            <w:tcW w:w="1169" w:type="dxa"/>
            <w:vAlign w:val="center"/>
          </w:tcPr>
          <w:p>
            <w:pPr>
              <w:tabs>
                <w:tab w:val="clear" w:pos="426"/>
              </w:tabs>
              <w:spacing w:line="240" w:lineRule="auto"/>
              <w:jc w:val="left"/>
            </w:pPr>
          </w:p>
        </w:tc>
        <w:tc>
          <w:tcPr>
            <w:tcW w:w="1914" w:type="dxa"/>
            <w:vAlign w:val="center"/>
          </w:tcPr>
          <w:p>
            <w:pPr>
              <w:tabs>
                <w:tab w:val="clear" w:pos="426"/>
              </w:tabs>
              <w:spacing w:line="24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tabs>
                <w:tab w:val="clear" w:pos="426"/>
              </w:tabs>
              <w:spacing w:line="240" w:lineRule="auto"/>
              <w:jc w:val="left"/>
            </w:pPr>
          </w:p>
        </w:tc>
        <w:tc>
          <w:tcPr>
            <w:tcW w:w="1291" w:type="dxa"/>
            <w:vAlign w:val="center"/>
          </w:tcPr>
          <w:p>
            <w:pPr>
              <w:jc w:val="left"/>
            </w:pPr>
          </w:p>
        </w:tc>
        <w:tc>
          <w:tcPr>
            <w:tcW w:w="1862" w:type="dxa"/>
            <w:vAlign w:val="center"/>
          </w:tcPr>
          <w:p>
            <w:pPr>
              <w:tabs>
                <w:tab w:val="clear" w:pos="426"/>
              </w:tabs>
              <w:spacing w:line="240" w:lineRule="auto"/>
              <w:jc w:val="left"/>
            </w:pPr>
          </w:p>
        </w:tc>
        <w:tc>
          <w:tcPr>
            <w:tcW w:w="2659" w:type="dxa"/>
            <w:vAlign w:val="center"/>
          </w:tcPr>
          <w:p>
            <w:pPr>
              <w:tabs>
                <w:tab w:val="clear" w:pos="426"/>
              </w:tabs>
              <w:spacing w:line="240" w:lineRule="auto"/>
              <w:jc w:val="left"/>
            </w:pPr>
          </w:p>
        </w:tc>
        <w:tc>
          <w:tcPr>
            <w:tcW w:w="1169" w:type="dxa"/>
            <w:vAlign w:val="center"/>
          </w:tcPr>
          <w:p>
            <w:pPr>
              <w:tabs>
                <w:tab w:val="clear" w:pos="426"/>
              </w:tabs>
              <w:spacing w:line="240" w:lineRule="auto"/>
              <w:jc w:val="left"/>
            </w:pPr>
          </w:p>
        </w:tc>
        <w:tc>
          <w:tcPr>
            <w:tcW w:w="1914" w:type="dxa"/>
            <w:vAlign w:val="center"/>
          </w:tcPr>
          <w:p>
            <w:pPr>
              <w:tabs>
                <w:tab w:val="clear" w:pos="426"/>
              </w:tabs>
              <w:spacing w:line="24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6"/>
            <w:vAlign w:val="center"/>
          </w:tcPr>
          <w:p>
            <w:pPr>
              <w:tabs>
                <w:tab w:val="clear" w:pos="426"/>
              </w:tabs>
              <w:spacing w:line="240" w:lineRule="auto"/>
              <w:jc w:val="left"/>
            </w:pPr>
            <w:r>
              <w:rPr>
                <w:rFonts w:hint="eastAsia"/>
                <w:szCs w:val="21"/>
              </w:rPr>
              <w:t>（三）其他商务条款偏离表</w:t>
            </w:r>
          </w:p>
        </w:tc>
      </w:tr>
      <w:bookmarkEnd w:id="18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tabs>
                <w:tab w:val="clear" w:pos="426"/>
              </w:tabs>
              <w:spacing w:line="240" w:lineRule="auto"/>
              <w:jc w:val="center"/>
            </w:pPr>
          </w:p>
        </w:tc>
        <w:tc>
          <w:tcPr>
            <w:tcW w:w="1291" w:type="dxa"/>
            <w:vAlign w:val="center"/>
          </w:tcPr>
          <w:p/>
        </w:tc>
        <w:tc>
          <w:tcPr>
            <w:tcW w:w="1862" w:type="dxa"/>
            <w:vAlign w:val="center"/>
          </w:tcPr>
          <w:p>
            <w:pPr>
              <w:tabs>
                <w:tab w:val="clear" w:pos="426"/>
              </w:tabs>
              <w:spacing w:line="240" w:lineRule="auto"/>
              <w:jc w:val="center"/>
            </w:pPr>
          </w:p>
        </w:tc>
        <w:tc>
          <w:tcPr>
            <w:tcW w:w="2659" w:type="dxa"/>
            <w:vAlign w:val="center"/>
          </w:tcPr>
          <w:p>
            <w:pPr>
              <w:tabs>
                <w:tab w:val="clear" w:pos="426"/>
              </w:tabs>
              <w:spacing w:line="240" w:lineRule="auto"/>
              <w:jc w:val="center"/>
            </w:pPr>
          </w:p>
        </w:tc>
        <w:tc>
          <w:tcPr>
            <w:tcW w:w="1169" w:type="dxa"/>
            <w:vAlign w:val="center"/>
          </w:tcPr>
          <w:p>
            <w:pPr>
              <w:tabs>
                <w:tab w:val="clear" w:pos="426"/>
              </w:tabs>
              <w:spacing w:line="240" w:lineRule="auto"/>
              <w:jc w:val="center"/>
            </w:pPr>
          </w:p>
        </w:tc>
        <w:tc>
          <w:tcPr>
            <w:tcW w:w="1914" w:type="dxa"/>
            <w:vAlign w:val="center"/>
          </w:tcPr>
          <w:p>
            <w:pPr>
              <w:tabs>
                <w:tab w:val="clear" w:pos="426"/>
              </w:tabs>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tabs>
                <w:tab w:val="clear" w:pos="426"/>
              </w:tabs>
              <w:spacing w:line="240" w:lineRule="auto"/>
              <w:jc w:val="center"/>
            </w:pPr>
          </w:p>
        </w:tc>
        <w:tc>
          <w:tcPr>
            <w:tcW w:w="1291" w:type="dxa"/>
            <w:vAlign w:val="center"/>
          </w:tcPr>
          <w:p/>
        </w:tc>
        <w:tc>
          <w:tcPr>
            <w:tcW w:w="1862" w:type="dxa"/>
            <w:vAlign w:val="center"/>
          </w:tcPr>
          <w:p>
            <w:pPr>
              <w:tabs>
                <w:tab w:val="clear" w:pos="426"/>
              </w:tabs>
              <w:spacing w:line="240" w:lineRule="auto"/>
              <w:jc w:val="center"/>
            </w:pPr>
          </w:p>
        </w:tc>
        <w:tc>
          <w:tcPr>
            <w:tcW w:w="2659" w:type="dxa"/>
            <w:vAlign w:val="center"/>
          </w:tcPr>
          <w:p>
            <w:pPr>
              <w:tabs>
                <w:tab w:val="clear" w:pos="426"/>
              </w:tabs>
              <w:spacing w:line="240" w:lineRule="auto"/>
              <w:jc w:val="center"/>
            </w:pPr>
          </w:p>
        </w:tc>
        <w:tc>
          <w:tcPr>
            <w:tcW w:w="1169" w:type="dxa"/>
            <w:vAlign w:val="center"/>
          </w:tcPr>
          <w:p>
            <w:pPr>
              <w:tabs>
                <w:tab w:val="clear" w:pos="426"/>
              </w:tabs>
              <w:spacing w:line="240" w:lineRule="auto"/>
              <w:jc w:val="center"/>
            </w:pPr>
          </w:p>
        </w:tc>
        <w:tc>
          <w:tcPr>
            <w:tcW w:w="1914" w:type="dxa"/>
            <w:vAlign w:val="center"/>
          </w:tcPr>
          <w:p>
            <w:pPr>
              <w:tabs>
                <w:tab w:val="clear" w:pos="426"/>
              </w:tabs>
              <w:spacing w:line="240" w:lineRule="auto"/>
              <w:jc w:val="center"/>
            </w:pPr>
          </w:p>
        </w:tc>
      </w:tr>
    </w:tbl>
    <w:p>
      <w:pPr>
        <w:tabs>
          <w:tab w:val="clear" w:pos="426"/>
        </w:tabs>
        <w:rPr>
          <w:rFonts w:cs="Arial"/>
          <w:bCs/>
          <w:szCs w:val="21"/>
        </w:rPr>
      </w:pPr>
      <w:r>
        <w:rPr>
          <w:rFonts w:hint="eastAsia" w:cs="Arial"/>
          <w:bCs/>
          <w:szCs w:val="21"/>
        </w:rPr>
        <w:t>备注：</w:t>
      </w:r>
    </w:p>
    <w:p>
      <w:pPr>
        <w:tabs>
          <w:tab w:val="clear" w:pos="426"/>
        </w:tabs>
        <w:ind w:firstLine="630" w:firstLineChars="300"/>
        <w:rPr>
          <w:rFonts w:cs="Arial"/>
          <w:bCs/>
          <w:szCs w:val="21"/>
        </w:rPr>
      </w:pPr>
      <w:r>
        <w:rPr>
          <w:rFonts w:cs="Arial"/>
          <w:bCs/>
          <w:szCs w:val="21"/>
        </w:rPr>
        <w:t xml:space="preserve">1. </w:t>
      </w:r>
      <w:r>
        <w:rPr>
          <w:rFonts w:hint="eastAsia" w:cs="Arial"/>
          <w:bCs/>
          <w:szCs w:val="21"/>
        </w:rPr>
        <w:t>“招标商务条款”一栏必须填写招标文件第三章“商务需求”的内容进行填写。</w:t>
      </w:r>
    </w:p>
    <w:p>
      <w:pPr>
        <w:tabs>
          <w:tab w:val="clear" w:pos="426"/>
        </w:tabs>
        <w:ind w:firstLine="630" w:firstLineChars="300"/>
        <w:rPr>
          <w:rFonts w:cs="Arial"/>
          <w:bCs/>
          <w:szCs w:val="21"/>
        </w:rPr>
      </w:pPr>
      <w:r>
        <w:rPr>
          <w:rFonts w:cs="Arial"/>
          <w:bCs/>
          <w:szCs w:val="21"/>
        </w:rPr>
        <w:t xml:space="preserve">2. </w:t>
      </w:r>
      <w:r>
        <w:rPr>
          <w:rFonts w:hint="eastAsia" w:cs="Arial"/>
          <w:bCs/>
          <w:szCs w:val="21"/>
        </w:rPr>
        <w:t>“投标商务响应</w:t>
      </w:r>
      <w:r>
        <w:rPr>
          <w:rFonts w:cs="Arial"/>
          <w:bCs/>
          <w:szCs w:val="21"/>
        </w:rPr>
        <w:t>”</w:t>
      </w:r>
      <w:r>
        <w:rPr>
          <w:rFonts w:hint="eastAsia" w:cs="Arial"/>
          <w:bCs/>
          <w:szCs w:val="21"/>
        </w:rPr>
        <w:t>一栏必须详细填写投标商务条款的内容。</w:t>
      </w:r>
    </w:p>
    <w:p>
      <w:pPr>
        <w:tabs>
          <w:tab w:val="clear" w:pos="426"/>
        </w:tabs>
        <w:ind w:firstLine="630" w:firstLineChars="300"/>
        <w:rPr>
          <w:rFonts w:cs="Arial"/>
          <w:bCs/>
          <w:szCs w:val="21"/>
        </w:rPr>
      </w:pPr>
      <w:r>
        <w:rPr>
          <w:rFonts w:cs="Arial"/>
          <w:bCs/>
          <w:szCs w:val="21"/>
        </w:rPr>
        <w:t xml:space="preserve">3.“偏离情况”栏中应填写“正偏离”、“负偏离”或 </w:t>
      </w:r>
      <w:r>
        <w:rPr>
          <w:rFonts w:hint="eastAsia" w:cs="Arial"/>
          <w:bCs/>
          <w:szCs w:val="21"/>
        </w:rPr>
        <w:t>“无偏离</w:t>
      </w:r>
      <w:r>
        <w:rPr>
          <w:rFonts w:cs="Arial"/>
          <w:bCs/>
          <w:szCs w:val="21"/>
        </w:rPr>
        <w:t>”</w:t>
      </w:r>
      <w:r>
        <w:rPr>
          <w:rFonts w:hint="eastAsia" w:cs="Arial"/>
          <w:bCs/>
          <w:szCs w:val="21"/>
        </w:rPr>
        <w:t>。</w:t>
      </w:r>
    </w:p>
    <w:p>
      <w:pPr>
        <w:tabs>
          <w:tab w:val="clear" w:pos="426"/>
        </w:tabs>
        <w:ind w:firstLine="420" w:firstLineChars="200"/>
        <w:rPr>
          <w:rFonts w:cs="Arial"/>
          <w:bCs/>
          <w:szCs w:val="21"/>
        </w:rPr>
      </w:pPr>
    </w:p>
    <w:p>
      <w:pPr>
        <w:tabs>
          <w:tab w:val="clear" w:pos="426"/>
        </w:tabs>
        <w:ind w:firstLine="420" w:firstLineChars="200"/>
        <w:rPr>
          <w:rFonts w:cs="Arial"/>
          <w:bCs/>
          <w:szCs w:val="21"/>
        </w:rPr>
      </w:pPr>
    </w:p>
    <w:p>
      <w:pPr>
        <w:tabs>
          <w:tab w:val="clear" w:pos="426"/>
        </w:tabs>
        <w:ind w:firstLine="420" w:firstLineChars="200"/>
        <w:rPr>
          <w:rFonts w:cs="Arial"/>
          <w:bCs/>
          <w:szCs w:val="21"/>
        </w:rPr>
      </w:pPr>
    </w:p>
    <w:p>
      <w:pPr>
        <w:tabs>
          <w:tab w:val="clear" w:pos="426"/>
        </w:tabs>
        <w:ind w:firstLine="420" w:firstLineChars="200"/>
        <w:rPr>
          <w:rFonts w:cs="Arial"/>
          <w:bCs/>
          <w:szCs w:val="21"/>
        </w:rPr>
      </w:pPr>
    </w:p>
    <w:p>
      <w:pPr>
        <w:shd w:val="clear" w:color="auto" w:fill="auto"/>
        <w:tabs>
          <w:tab w:val="clear" w:pos="426"/>
        </w:tabs>
        <w:adjustRightInd/>
        <w:snapToGrid/>
        <w:spacing w:line="240" w:lineRule="auto"/>
        <w:jc w:val="left"/>
        <w:rPr>
          <w:rFonts w:cs="Arial"/>
          <w:bCs/>
          <w:szCs w:val="21"/>
        </w:rPr>
      </w:pPr>
      <w:r>
        <w:rPr>
          <w:rFonts w:cs="Arial"/>
          <w:bCs/>
          <w:szCs w:val="21"/>
        </w:rPr>
        <w:br w:type="page"/>
      </w:r>
    </w:p>
    <w:p>
      <w:pPr>
        <w:numPr>
          <w:ilvl w:val="0"/>
          <w:numId w:val="6"/>
        </w:numPr>
        <w:adjustRightInd/>
        <w:snapToGrid/>
        <w:spacing w:before="280" w:after="290" w:line="377" w:lineRule="auto"/>
        <w:outlineLvl w:val="2"/>
        <w:rPr>
          <w:b/>
          <w:sz w:val="24"/>
        </w:rPr>
      </w:pPr>
      <w:bookmarkStart w:id="185" w:name="_Toc3941"/>
      <w:r>
        <w:rPr>
          <w:rFonts w:hint="eastAsia"/>
          <w:b/>
          <w:sz w:val="24"/>
        </w:rPr>
        <w:t>技术保障措施（格式自拟）</w:t>
      </w:r>
      <w:bookmarkEnd w:id="185"/>
      <w:r>
        <w:rPr>
          <w:b/>
          <w:sz w:val="24"/>
        </w:rPr>
        <w:t xml:space="preserve"> </w:t>
      </w:r>
    </w:p>
    <w:p>
      <w:pPr>
        <w:numPr>
          <w:ilvl w:val="0"/>
          <w:numId w:val="6"/>
        </w:numPr>
        <w:adjustRightInd/>
        <w:snapToGrid/>
        <w:spacing w:before="280" w:after="290" w:line="377" w:lineRule="auto"/>
        <w:outlineLvl w:val="2"/>
        <w:rPr>
          <w:b/>
          <w:sz w:val="24"/>
        </w:rPr>
      </w:pPr>
      <w:bookmarkStart w:id="186" w:name="_Toc28681"/>
      <w:r>
        <w:rPr>
          <w:rFonts w:hint="eastAsia"/>
          <w:b/>
          <w:sz w:val="24"/>
        </w:rPr>
        <w:t>核心产品生产厂家售后服务支持（格式自拟）</w:t>
      </w:r>
      <w:bookmarkEnd w:id="186"/>
      <w:r>
        <w:rPr>
          <w:b/>
          <w:sz w:val="24"/>
        </w:rPr>
        <w:t xml:space="preserve"> </w:t>
      </w:r>
    </w:p>
    <w:p>
      <w:pPr>
        <w:numPr>
          <w:ilvl w:val="0"/>
          <w:numId w:val="6"/>
        </w:numPr>
        <w:adjustRightInd/>
        <w:snapToGrid/>
        <w:spacing w:before="280" w:after="290" w:line="377" w:lineRule="auto"/>
        <w:outlineLvl w:val="2"/>
        <w:rPr>
          <w:b/>
          <w:sz w:val="24"/>
        </w:rPr>
      </w:pPr>
      <w:bookmarkStart w:id="187" w:name="_Toc23491"/>
      <w:r>
        <w:rPr>
          <w:rFonts w:hint="eastAsia"/>
          <w:b/>
          <w:sz w:val="24"/>
        </w:rPr>
        <w:t>投标人同类业绩（格式自拟）</w:t>
      </w:r>
      <w:bookmarkEnd w:id="187"/>
      <w:r>
        <w:rPr>
          <w:b/>
          <w:sz w:val="24"/>
        </w:rPr>
        <w:t xml:space="preserve"> </w:t>
      </w:r>
    </w:p>
    <w:p>
      <w:pPr>
        <w:tabs>
          <w:tab w:val="clear" w:pos="426"/>
        </w:tabs>
        <w:spacing w:line="440" w:lineRule="exact"/>
        <w:rPr>
          <w:b/>
          <w:szCs w:val="21"/>
        </w:rPr>
      </w:pPr>
      <w:r>
        <w:rPr>
          <w:rFonts w:hint="eastAsia"/>
          <w:b/>
          <w:bCs/>
        </w:rPr>
        <w:t>备注：以上节点请</w:t>
      </w:r>
      <w:r>
        <w:rPr>
          <w:rFonts w:hint="eastAsia"/>
          <w:b/>
          <w:szCs w:val="21"/>
        </w:rPr>
        <w:t>根据评审表的要求提交相应资料，格式自拟。</w:t>
      </w:r>
    </w:p>
    <w:p>
      <w:pPr>
        <w:shd w:val="clear" w:color="auto" w:fill="auto"/>
        <w:tabs>
          <w:tab w:val="clear" w:pos="426"/>
        </w:tabs>
        <w:adjustRightInd/>
        <w:snapToGrid/>
        <w:spacing w:line="240" w:lineRule="auto"/>
        <w:jc w:val="left"/>
        <w:rPr>
          <w:rFonts w:hAnsi="Calibri"/>
          <w:sz w:val="22"/>
          <w:szCs w:val="21"/>
        </w:rPr>
      </w:pPr>
      <w:r>
        <w:br w:type="page"/>
      </w:r>
    </w:p>
    <w:p>
      <w:pPr>
        <w:numPr>
          <w:ilvl w:val="0"/>
          <w:numId w:val="6"/>
        </w:numPr>
        <w:adjustRightInd/>
        <w:snapToGrid/>
        <w:spacing w:before="280" w:after="290" w:line="377" w:lineRule="auto"/>
        <w:outlineLvl w:val="2"/>
        <w:rPr>
          <w:b/>
          <w:sz w:val="24"/>
        </w:rPr>
      </w:pPr>
      <w:bookmarkStart w:id="188" w:name="_Toc36822701"/>
      <w:bookmarkStart w:id="189" w:name="_Toc15317"/>
      <w:r>
        <w:rPr>
          <w:rFonts w:hint="eastAsia"/>
          <w:b/>
          <w:sz w:val="24"/>
        </w:rPr>
        <w:t>招标代理服务费承诺书</w:t>
      </w:r>
      <w:bookmarkEnd w:id="188"/>
      <w:bookmarkEnd w:id="189"/>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招标代理服务费承诺书</w:t>
      </w:r>
    </w:p>
    <w:p>
      <w:pPr>
        <w:tabs>
          <w:tab w:val="clear" w:pos="426"/>
        </w:tabs>
        <w:adjustRightInd/>
        <w:snapToGrid/>
        <w:rPr>
          <w:b/>
        </w:rPr>
      </w:pPr>
    </w:p>
    <w:p>
      <w:pPr>
        <w:tabs>
          <w:tab w:val="clear" w:pos="426"/>
        </w:tabs>
        <w:adjustRightInd/>
        <w:snapToGrid/>
        <w:rPr>
          <w:b/>
        </w:rPr>
      </w:pPr>
      <w:r>
        <w:rPr>
          <w:rFonts w:hint="eastAsia"/>
          <w:b/>
        </w:rPr>
        <w:t>深圳市深水水务咨询有限公司：</w:t>
      </w:r>
    </w:p>
    <w:p>
      <w:pPr>
        <w:tabs>
          <w:tab w:val="clear" w:pos="426"/>
        </w:tabs>
        <w:adjustRightInd/>
        <w:snapToGrid/>
        <w:ind w:firstLine="420" w:firstLineChars="200"/>
        <w:rPr>
          <w:szCs w:val="21"/>
        </w:rPr>
      </w:pPr>
      <w:r>
        <w:rPr>
          <w:rFonts w:hint="eastAsia"/>
        </w:rPr>
        <w:t>本公司</w:t>
      </w:r>
      <w:r>
        <w:rPr>
          <w:u w:val="single"/>
        </w:rPr>
        <w:t>(投标供应商名称)</w:t>
      </w:r>
      <w:r>
        <w:rPr>
          <w:rFonts w:hint="eastAsia"/>
        </w:rPr>
        <w:t>在参加</w:t>
      </w:r>
      <w:r>
        <w:rPr>
          <w:rFonts w:hint="eastAsia"/>
          <w:u w:val="single"/>
        </w:rPr>
        <w:t>（项目名称）</w:t>
      </w:r>
      <w:r>
        <w:t>(项目编号：</w:t>
      </w:r>
      <w:r>
        <w:rPr>
          <w:u w:val="single"/>
        </w:rPr>
        <w:t>（项目编号）</w:t>
      </w:r>
      <w:r>
        <w:t>)的招标中如获中标</w:t>
      </w:r>
      <w:r>
        <w:rPr>
          <w:rFonts w:hint="eastAsia"/>
          <w:szCs w:val="21"/>
        </w:rPr>
        <w:t>，我公司保证按照招标文件</w:t>
      </w:r>
      <w:r>
        <w:rPr>
          <w:rFonts w:hint="eastAsia"/>
        </w:rPr>
        <w:t>的</w:t>
      </w:r>
      <w:r>
        <w:rPr>
          <w:rFonts w:hint="eastAsia"/>
          <w:szCs w:val="21"/>
        </w:rPr>
        <w:t>规定缴纳“招标代理服务费”后，凭领取人身份证复印件并加盖公章领取《中标通知书》。如采用电汇或银行转账，我</w:t>
      </w:r>
      <w:r>
        <w:rPr>
          <w:rFonts w:hint="eastAsia"/>
        </w:rPr>
        <w:t>公</w:t>
      </w:r>
      <w:r>
        <w:rPr>
          <w:rFonts w:hint="eastAsia"/>
          <w:szCs w:val="21"/>
        </w:rPr>
        <w:t>司将同时递交招标代理服务费缴费凭证复印件并加盖公章。</w:t>
      </w:r>
    </w:p>
    <w:p>
      <w:pPr>
        <w:tabs>
          <w:tab w:val="clear" w:pos="426"/>
        </w:tabs>
        <w:adjustRightInd/>
        <w:snapToGrid/>
        <w:ind w:firstLine="420" w:firstLineChars="200"/>
      </w:pPr>
      <w:r>
        <w:rPr>
          <w:rFonts w:hint="eastAsia"/>
        </w:rPr>
        <w:t>如我公司违反上款承诺，愿凭贵公司开出的相关通知，同意（采购代理机构名称）办理支付手续，愿承担由此引起的一切法律责任。</w:t>
      </w:r>
    </w:p>
    <w:p>
      <w:pPr>
        <w:tabs>
          <w:tab w:val="clear" w:pos="426"/>
        </w:tabs>
        <w:adjustRightInd/>
        <w:snapToGrid/>
        <w:ind w:firstLine="420" w:firstLineChars="200"/>
      </w:pPr>
      <w:r>
        <w:rPr>
          <w:rFonts w:hint="eastAsia"/>
        </w:rPr>
        <w:t>特此承诺</w:t>
      </w:r>
      <w:r>
        <w:t>!</w:t>
      </w:r>
    </w:p>
    <w:p>
      <w:pPr>
        <w:tabs>
          <w:tab w:val="clear" w:pos="426"/>
        </w:tabs>
        <w:adjustRightInd/>
        <w:snapToGrid/>
        <w:ind w:firstLine="420" w:firstLineChars="200"/>
      </w:pPr>
    </w:p>
    <w:p>
      <w:pPr>
        <w:tabs>
          <w:tab w:val="clear" w:pos="426"/>
        </w:tabs>
        <w:adjustRightInd/>
        <w:snapToGrid/>
        <w:ind w:firstLine="420" w:firstLineChars="200"/>
      </w:pPr>
    </w:p>
    <w:p>
      <w:pPr>
        <w:tabs>
          <w:tab w:val="clear" w:pos="426"/>
        </w:tabs>
        <w:ind w:firstLine="420"/>
        <w:rPr>
          <w:u w:val="single"/>
        </w:rPr>
      </w:pPr>
      <w:r>
        <w:rPr>
          <w:rFonts w:hint="eastAsia"/>
        </w:rPr>
        <w:t>单位名称：</w:t>
      </w:r>
      <w:r>
        <w:rPr>
          <w:u w:val="single"/>
        </w:rPr>
        <w:t>_____________________________________________________________</w:t>
      </w:r>
    </w:p>
    <w:p>
      <w:pPr>
        <w:tabs>
          <w:tab w:val="clear" w:pos="426"/>
        </w:tabs>
        <w:ind w:firstLine="420"/>
        <w:rPr>
          <w:u w:val="single"/>
        </w:rPr>
      </w:pPr>
      <w:r>
        <w:rPr>
          <w:rFonts w:hint="eastAsia"/>
        </w:rPr>
        <w:t>法定代表人或投标供应商授权代表（签名或盖章）：</w:t>
      </w:r>
      <w:r>
        <w:rPr>
          <w:u w:val="single"/>
        </w:rPr>
        <w:t>_________________________</w:t>
      </w:r>
    </w:p>
    <w:p>
      <w:pPr>
        <w:tabs>
          <w:tab w:val="clear" w:pos="426"/>
        </w:tabs>
        <w:ind w:firstLine="420"/>
        <w:rPr>
          <w:u w:val="single"/>
        </w:rPr>
      </w:pPr>
      <w:r>
        <w:rPr>
          <w:rFonts w:hint="eastAsia"/>
        </w:rPr>
        <w:t>单位地址：</w:t>
      </w:r>
      <w:r>
        <w:rPr>
          <w:u w:val="single"/>
        </w:rPr>
        <w:t>_____________________________________________________________</w:t>
      </w:r>
    </w:p>
    <w:p>
      <w:pPr>
        <w:tabs>
          <w:tab w:val="clear" w:pos="426"/>
        </w:tabs>
        <w:ind w:firstLine="420"/>
        <w:rPr>
          <w:u w:val="single"/>
        </w:rPr>
      </w:pPr>
      <w:r>
        <w:rPr>
          <w:rFonts w:hint="eastAsia"/>
        </w:rPr>
        <w:t>单位公章：</w:t>
      </w:r>
      <w:r>
        <w:rPr>
          <w:u w:val="single"/>
        </w:rPr>
        <w:t>_____________________________________________________________</w:t>
      </w:r>
    </w:p>
    <w:p>
      <w:pPr>
        <w:tabs>
          <w:tab w:val="clear" w:pos="426"/>
        </w:tabs>
        <w:ind w:firstLine="420"/>
        <w:rPr>
          <w:u w:val="single"/>
        </w:rPr>
      </w:pPr>
      <w:r>
        <w:rPr>
          <w:rFonts w:hint="eastAsia"/>
        </w:rPr>
        <w:t>邮政编码：</w:t>
      </w:r>
      <w:r>
        <w:rPr>
          <w:u w:val="single"/>
        </w:rPr>
        <w:t>_______________________</w:t>
      </w:r>
      <w:r>
        <w:rPr>
          <w:rFonts w:hint="eastAsia"/>
        </w:rPr>
        <w:t>日期：</w:t>
      </w:r>
      <w:r>
        <w:rPr>
          <w:u w:val="single"/>
        </w:rPr>
        <w:t>________________________________</w:t>
      </w:r>
    </w:p>
    <w:p>
      <w:pPr>
        <w:tabs>
          <w:tab w:val="clear" w:pos="426"/>
        </w:tabs>
        <w:ind w:firstLine="420"/>
        <w:rPr>
          <w:u w:val="single"/>
        </w:rPr>
      </w:pPr>
      <w:r>
        <w:rPr>
          <w:rFonts w:hint="eastAsia"/>
        </w:rPr>
        <w:t>联系电话：</w:t>
      </w:r>
      <w:r>
        <w:rPr>
          <w:u w:val="single"/>
        </w:rPr>
        <w:t>_____________________________________________________________</w:t>
      </w:r>
    </w:p>
    <w:p>
      <w:pPr>
        <w:tabs>
          <w:tab w:val="clear" w:pos="426"/>
        </w:tabs>
        <w:ind w:firstLine="420"/>
        <w:rPr>
          <w:u w:val="single"/>
        </w:rPr>
      </w:pPr>
    </w:p>
    <w:p>
      <w:pPr>
        <w:tabs>
          <w:tab w:val="clear" w:pos="426"/>
        </w:tabs>
        <w:ind w:firstLine="420"/>
        <w:rPr>
          <w:spacing w:val="4"/>
          <w:u w:val="single"/>
        </w:rPr>
      </w:pPr>
    </w:p>
    <w:p>
      <w:pPr>
        <w:tabs>
          <w:tab w:val="clear" w:pos="426"/>
        </w:tabs>
        <w:rPr>
          <w:b/>
          <w:szCs w:val="21"/>
        </w:rPr>
      </w:pPr>
      <w:r>
        <w:rPr>
          <w:b/>
        </w:rPr>
        <w:br w:type="page"/>
      </w:r>
    </w:p>
    <w:p>
      <w:pPr>
        <w:widowControl w:val="0"/>
        <w:shd w:val="clear" w:color="auto" w:fill="auto"/>
        <w:tabs>
          <w:tab w:val="clear" w:pos="426"/>
        </w:tabs>
        <w:adjustRightInd/>
        <w:snapToGrid/>
        <w:spacing w:line="300" w:lineRule="auto"/>
        <w:jc w:val="center"/>
        <w:rPr>
          <w:rFonts w:cs="Times New Roman"/>
          <w:bCs/>
          <w:kern w:val="2"/>
          <w:sz w:val="32"/>
          <w:szCs w:val="32"/>
        </w:rPr>
      </w:pPr>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招标代理服务费发票开具须知</w:t>
      </w:r>
    </w:p>
    <w:tbl>
      <w:tblPr>
        <w:tblStyle w:val="8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59" w:type="dxa"/>
            <w:vAlign w:val="center"/>
          </w:tcPr>
          <w:p>
            <w:pPr>
              <w:tabs>
                <w:tab w:val="clear" w:pos="426"/>
              </w:tabs>
              <w:spacing w:line="520" w:lineRule="exact"/>
              <w:rPr>
                <w:b/>
              </w:rPr>
            </w:pPr>
            <w:r>
              <w:rPr>
                <w:rFonts w:hint="eastAsia"/>
                <w:b/>
              </w:rPr>
              <w:t>发票类型</w:t>
            </w:r>
          </w:p>
        </w:tc>
        <w:tc>
          <w:tcPr>
            <w:tcW w:w="7363" w:type="dxa"/>
            <w:vAlign w:val="center"/>
          </w:tcPr>
          <w:p>
            <w:pPr>
              <w:tabs>
                <w:tab w:val="clear" w:pos="426"/>
              </w:tabs>
              <w:spacing w:line="520" w:lineRule="exact"/>
              <w:ind w:firstLine="420" w:firstLineChars="200"/>
            </w:pPr>
            <w:r>
              <w:rPr>
                <w:rFonts w:hint="eastAsia"/>
              </w:rPr>
              <w:t>□增值税普通发票</w:t>
            </w:r>
            <w:r>
              <w:t xml:space="preserve">             </w:t>
            </w:r>
            <w:r>
              <w:rPr>
                <w:rFonts w:hint="eastAsia"/>
              </w:rPr>
              <w:t>□增值税专用发票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8522" w:type="dxa"/>
            <w:gridSpan w:val="2"/>
            <w:vAlign w:val="center"/>
          </w:tcPr>
          <w:p>
            <w:pPr>
              <w:tabs>
                <w:tab w:val="clear" w:pos="426"/>
              </w:tabs>
              <w:spacing w:line="520" w:lineRule="exact"/>
            </w:pPr>
            <w:r>
              <w:rPr>
                <w:rFonts w:hint="eastAsia"/>
              </w:rPr>
              <w:t>如选择增值税专用发票，需提供以下材料，投标时密封于开标信封中：</w:t>
            </w:r>
          </w:p>
          <w:p>
            <w:pPr>
              <w:tabs>
                <w:tab w:val="clear" w:pos="426"/>
              </w:tabs>
              <w:spacing w:line="520" w:lineRule="exact"/>
            </w:pPr>
            <w:r>
              <w:t xml:space="preserve">1、营业执照、一般纳税人资格认定税务通知书或其他可证明具有该项资格证明文件的复印件，加盖单位公章； </w:t>
            </w:r>
          </w:p>
          <w:p>
            <w:pPr>
              <w:tabs>
                <w:tab w:val="clear" w:pos="426"/>
              </w:tabs>
              <w:spacing w:line="520" w:lineRule="exact"/>
            </w:pPr>
            <w:r>
              <w:t>2、客户的开票资料（单位名称、纳税人识别号、地址、电话、开户行全称及账号）</w:t>
            </w:r>
            <w:r>
              <w:rPr>
                <w:rFonts w:hint="eastAsia"/>
              </w:rPr>
              <w:t>，加盖单位公章。</w:t>
            </w:r>
          </w:p>
        </w:tc>
      </w:tr>
    </w:tbl>
    <w:p>
      <w:pPr>
        <w:tabs>
          <w:tab w:val="clear" w:pos="426"/>
        </w:tabs>
        <w:rPr>
          <w:b/>
          <w:szCs w:val="21"/>
        </w:rPr>
      </w:pPr>
    </w:p>
    <w:p>
      <w:pPr>
        <w:tabs>
          <w:tab w:val="clear" w:pos="426"/>
        </w:tabs>
        <w:rPr>
          <w:b/>
          <w:szCs w:val="21"/>
        </w:rPr>
      </w:pPr>
    </w:p>
    <w:p>
      <w:pPr>
        <w:tabs>
          <w:tab w:val="clear" w:pos="426"/>
        </w:tabs>
        <w:jc w:val="center"/>
        <w:rPr>
          <w:b/>
          <w:szCs w:val="21"/>
        </w:rPr>
      </w:pPr>
      <w:r>
        <w:rPr>
          <w:rFonts w:hint="eastAsia"/>
          <w:b/>
          <w:szCs w:val="21"/>
        </w:rPr>
        <w:t>附：缴纳</w:t>
      </w:r>
      <w:r>
        <w:rPr>
          <w:b/>
          <w:szCs w:val="21"/>
        </w:rPr>
        <w:t>招标代理服务费</w:t>
      </w:r>
      <w:r>
        <w:rPr>
          <w:rFonts w:hint="eastAsia"/>
          <w:b/>
          <w:szCs w:val="21"/>
        </w:rPr>
        <w:t>账号</w:t>
      </w:r>
      <w:r>
        <w:rPr>
          <w:b/>
          <w:szCs w:val="21"/>
        </w:rPr>
        <w:t>：</w:t>
      </w:r>
    </w:p>
    <w:tbl>
      <w:tblPr>
        <w:tblStyle w:val="85"/>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5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tabs>
                <w:tab w:val="clear" w:pos="426"/>
              </w:tabs>
              <w:jc w:val="center"/>
              <w:rPr>
                <w:b/>
                <w:szCs w:val="21"/>
              </w:rPr>
            </w:pPr>
            <w:r>
              <w:rPr>
                <w:b/>
                <w:szCs w:val="21"/>
              </w:rPr>
              <w:t>收款人名称</w:t>
            </w:r>
          </w:p>
        </w:tc>
        <w:tc>
          <w:tcPr>
            <w:tcW w:w="5579" w:type="dxa"/>
            <w:vAlign w:val="center"/>
          </w:tcPr>
          <w:p>
            <w:pPr>
              <w:tabs>
                <w:tab w:val="clear" w:pos="426"/>
              </w:tabs>
              <w:jc w:val="center"/>
              <w:rPr>
                <w:szCs w:val="21"/>
              </w:rPr>
            </w:pPr>
            <w:r>
              <w:rPr>
                <w:rFonts w:hint="eastAsia"/>
                <w:szCs w:val="21"/>
              </w:rPr>
              <w:t>深圳市深水水务咨询有限公司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tabs>
                <w:tab w:val="clear" w:pos="426"/>
              </w:tabs>
              <w:jc w:val="center"/>
              <w:rPr>
                <w:b/>
                <w:szCs w:val="21"/>
              </w:rPr>
            </w:pPr>
            <w:r>
              <w:rPr>
                <w:b/>
                <w:szCs w:val="21"/>
              </w:rPr>
              <w:t>开户银行</w:t>
            </w:r>
          </w:p>
        </w:tc>
        <w:tc>
          <w:tcPr>
            <w:tcW w:w="5579" w:type="dxa"/>
            <w:vAlign w:val="center"/>
          </w:tcPr>
          <w:p>
            <w:pPr>
              <w:tabs>
                <w:tab w:val="clear" w:pos="426"/>
              </w:tabs>
              <w:jc w:val="center"/>
              <w:rPr>
                <w:b/>
                <w:kern w:val="2"/>
                <w:szCs w:val="21"/>
              </w:rPr>
            </w:pPr>
            <w:r>
              <w:rPr>
                <w:rFonts w:hint="eastAsia"/>
              </w:rPr>
              <w:t>交通银行深圳金叶支行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tabs>
                <w:tab w:val="clear" w:pos="426"/>
              </w:tabs>
              <w:ind w:firstLine="422"/>
              <w:jc w:val="center"/>
              <w:rPr>
                <w:b/>
                <w:kern w:val="2"/>
                <w:szCs w:val="21"/>
              </w:rPr>
            </w:pPr>
            <w:r>
              <w:rPr>
                <w:rFonts w:hint="eastAsia"/>
                <w:b/>
                <w:szCs w:val="21"/>
              </w:rPr>
              <w:t>账</w:t>
            </w:r>
            <w:r>
              <w:rPr>
                <w:b/>
                <w:szCs w:val="21"/>
              </w:rPr>
              <w:t xml:space="preserve">    号</w:t>
            </w:r>
          </w:p>
        </w:tc>
        <w:tc>
          <w:tcPr>
            <w:tcW w:w="5579" w:type="dxa"/>
            <w:vAlign w:val="center"/>
          </w:tcPr>
          <w:p>
            <w:pPr>
              <w:tabs>
                <w:tab w:val="clear" w:pos="426"/>
              </w:tabs>
              <w:adjustRightInd/>
              <w:snapToGrid/>
              <w:spacing w:line="240" w:lineRule="exact"/>
              <w:jc w:val="center"/>
              <w:rPr>
                <w:b/>
                <w:kern w:val="2"/>
                <w:szCs w:val="21"/>
              </w:rPr>
            </w:pPr>
            <w:r>
              <w:t>443899991010003343618</w:t>
            </w:r>
          </w:p>
        </w:tc>
      </w:tr>
    </w:tbl>
    <w:p>
      <w:pPr>
        <w:tabs>
          <w:tab w:val="clear" w:pos="426"/>
        </w:tabs>
        <w:rPr>
          <w:rFonts w:cs="Arial"/>
          <w:bCs/>
          <w:sz w:val="24"/>
        </w:rPr>
      </w:pPr>
    </w:p>
    <w:p>
      <w:pPr>
        <w:tabs>
          <w:tab w:val="clear" w:pos="426"/>
        </w:tabs>
        <w:rPr>
          <w:rFonts w:cs="Arial"/>
          <w:bCs/>
          <w:sz w:val="24"/>
        </w:rPr>
      </w:pPr>
    </w:p>
    <w:p>
      <w:pPr>
        <w:tabs>
          <w:tab w:val="clear" w:pos="426"/>
        </w:tabs>
        <w:rPr>
          <w:rFonts w:cs="Arial"/>
          <w:bCs/>
          <w:sz w:val="24"/>
        </w:rPr>
      </w:pPr>
    </w:p>
    <w:p>
      <w:pPr>
        <w:tabs>
          <w:tab w:val="clear" w:pos="426"/>
        </w:tabs>
        <w:spacing w:line="520" w:lineRule="exact"/>
        <w:ind w:left="424" w:leftChars="202"/>
        <w:rPr>
          <w:rFonts w:ascii="黑体" w:eastAsia="黑体"/>
          <w:b/>
          <w:bCs/>
          <w:sz w:val="28"/>
        </w:rPr>
      </w:pPr>
    </w:p>
    <w:bookmarkEnd w:id="110"/>
    <w:bookmarkEnd w:id="111"/>
    <w:bookmarkEnd w:id="112"/>
    <w:bookmarkEnd w:id="113"/>
    <w:p>
      <w:pPr>
        <w:tabs>
          <w:tab w:val="clear" w:pos="426"/>
        </w:tabs>
        <w:adjustRightInd/>
        <w:snapToGrid/>
        <w:spacing w:before="280" w:after="290" w:line="377" w:lineRule="auto"/>
        <w:jc w:val="left"/>
        <w:rPr>
          <w:b/>
          <w:sz w:val="24"/>
        </w:rPr>
      </w:pPr>
      <w:bookmarkStart w:id="190" w:name="_Toc528170834"/>
      <w:bookmarkStart w:id="191" w:name="_Toc518464390"/>
      <w:bookmarkStart w:id="192" w:name="_Toc528675207"/>
      <w:r>
        <w:rPr>
          <w:b/>
          <w:sz w:val="24"/>
        </w:rPr>
        <w:br w:type="page"/>
      </w:r>
    </w:p>
    <w:p>
      <w:pPr>
        <w:numPr>
          <w:ilvl w:val="0"/>
          <w:numId w:val="6"/>
        </w:numPr>
        <w:adjustRightInd/>
        <w:snapToGrid/>
        <w:spacing w:before="280" w:after="290" w:line="377" w:lineRule="auto"/>
        <w:outlineLvl w:val="2"/>
        <w:rPr>
          <w:b/>
          <w:sz w:val="24"/>
        </w:rPr>
      </w:pPr>
      <w:bookmarkStart w:id="193" w:name="_Toc36822702"/>
      <w:bookmarkStart w:id="194" w:name="_Toc3408"/>
      <w:r>
        <w:rPr>
          <w:rFonts w:hint="eastAsia"/>
          <w:b/>
          <w:sz w:val="24"/>
        </w:rPr>
        <w:t>招标文件要求的其他内容及投标供应商认为需要加以说明的其他内容</w:t>
      </w:r>
      <w:bookmarkEnd w:id="190"/>
      <w:bookmarkEnd w:id="191"/>
      <w:bookmarkEnd w:id="192"/>
      <w:bookmarkEnd w:id="193"/>
      <w:bookmarkEnd w:id="194"/>
    </w:p>
    <w:p>
      <w:pPr>
        <w:tabs>
          <w:tab w:val="clear" w:pos="426"/>
        </w:tabs>
        <w:ind w:firstLine="424" w:firstLineChars="202"/>
        <w:rPr>
          <w:rFonts w:cs="Arial"/>
          <w:bCs/>
          <w:szCs w:val="21"/>
        </w:rPr>
      </w:pPr>
      <w:r>
        <w:rPr>
          <w:rFonts w:hint="eastAsia" w:cs="Arial"/>
          <w:bCs/>
          <w:szCs w:val="21"/>
        </w:rPr>
        <w:t>提供招标公告和评标信息中关于投标供应商的其他相关证明文件（如评标信息中涉及的各种证件（身份证除外）、设备发票等，未涉及的可以不提供）</w:t>
      </w:r>
    </w:p>
    <w:p>
      <w:pPr>
        <w:tabs>
          <w:tab w:val="clear" w:pos="426"/>
        </w:tabs>
        <w:ind w:firstLine="424" w:firstLineChars="202"/>
        <w:rPr>
          <w:rFonts w:cs="Arial"/>
          <w:bCs/>
          <w:szCs w:val="21"/>
        </w:rPr>
      </w:pPr>
    </w:p>
    <w:p>
      <w:pPr>
        <w:tabs>
          <w:tab w:val="clear" w:pos="426"/>
        </w:tabs>
        <w:ind w:firstLine="424" w:firstLineChars="202"/>
        <w:rPr>
          <w:rFonts w:cs="Arial"/>
          <w:bCs/>
          <w:szCs w:val="21"/>
        </w:rPr>
      </w:pPr>
    </w:p>
    <w:p>
      <w:pPr>
        <w:tabs>
          <w:tab w:val="clear" w:pos="426"/>
        </w:tabs>
      </w:pPr>
    </w:p>
    <w:p>
      <w:pPr>
        <w:pStyle w:val="81"/>
        <w:tabs>
          <w:tab w:val="clear" w:pos="426"/>
        </w:tabs>
      </w:pPr>
      <w:r>
        <w:br w:type="page"/>
      </w:r>
      <w:bookmarkStart w:id="195" w:name="_Toc14427253"/>
      <w:bookmarkStart w:id="196" w:name="_Toc530152521"/>
      <w:bookmarkStart w:id="197" w:name="_Toc29055"/>
      <w:r>
        <w:rPr>
          <w:rFonts w:hint="eastAsia"/>
        </w:rPr>
        <w:t>第二册通用条款</w:t>
      </w:r>
      <w:bookmarkEnd w:id="195"/>
      <w:bookmarkEnd w:id="196"/>
      <w:bookmarkEnd w:id="197"/>
    </w:p>
    <w:p>
      <w:pPr>
        <w:jc w:val="center"/>
        <w:rPr>
          <w:b/>
        </w:rPr>
      </w:pPr>
      <w:r>
        <w:rPr>
          <w:rFonts w:hint="eastAsia"/>
          <w:b/>
        </w:rPr>
        <w:t>（投标供应商须知）</w:t>
      </w:r>
    </w:p>
    <w:p>
      <w:pPr>
        <w:pStyle w:val="4"/>
      </w:pPr>
      <w:bookmarkStart w:id="198" w:name="_Toc529280581"/>
      <w:bookmarkStart w:id="199" w:name="_Toc29183"/>
      <w:bookmarkStart w:id="200" w:name="_Toc14427254"/>
      <w:bookmarkStart w:id="201" w:name="_Toc530152522"/>
      <w:r>
        <w:rPr>
          <w:rFonts w:hint="eastAsia"/>
        </w:rPr>
        <w:t>第一章</w:t>
      </w:r>
      <w:r>
        <w:t xml:space="preserve"> </w:t>
      </w:r>
      <w:r>
        <w:rPr>
          <w:rFonts w:hint="eastAsia"/>
        </w:rPr>
        <w:t>总则</w:t>
      </w:r>
      <w:bookmarkEnd w:id="198"/>
      <w:bookmarkEnd w:id="199"/>
      <w:bookmarkEnd w:id="200"/>
      <w:bookmarkEnd w:id="201"/>
    </w:p>
    <w:p>
      <w:pPr>
        <w:tabs>
          <w:tab w:val="clear" w:pos="426"/>
        </w:tabs>
      </w:pPr>
      <w:r>
        <w:t>1.通用条款说明</w:t>
      </w:r>
    </w:p>
    <w:p>
      <w:pPr>
        <w:tabs>
          <w:tab w:val="clear" w:pos="426"/>
        </w:tabs>
      </w:pPr>
      <w:r>
        <w:t>1.1采购代理机构发出招标文件通用条款版本，列出采购项目进行招标采购所适用的通用条款内容。如有需要，采购代理机构可以对这些条款增加附录或补充内容。</w:t>
      </w:r>
    </w:p>
    <w:p>
      <w:pPr>
        <w:tabs>
          <w:tab w:val="clear" w:pos="426"/>
        </w:tabs>
      </w:pPr>
      <w:r>
        <w:t>2．</w:t>
      </w:r>
      <w:r>
        <w:rPr>
          <w:rFonts w:hint="eastAsia"/>
        </w:rPr>
        <w:t>招标说明</w:t>
      </w:r>
    </w:p>
    <w:p>
      <w:pPr>
        <w:tabs>
          <w:tab w:val="clear" w:pos="426"/>
        </w:tabs>
        <w:rPr>
          <w:szCs w:val="21"/>
        </w:rPr>
      </w:pPr>
      <w:r>
        <w:rPr>
          <w:rFonts w:hint="eastAsia"/>
        </w:rPr>
        <w:t>本项目按照《中华人民共和国政府采购法》《中华人民共和国政府采购法实施条例》的规定，并参考有关法规、政策、规章、规定通过招标择优选定供应商。</w:t>
      </w:r>
      <w:r>
        <w:rPr>
          <w:rFonts w:hint="eastAsia"/>
          <w:szCs w:val="21"/>
        </w:rPr>
        <w:t>本招标文件适用于采购公告中所述项目的政府采购。</w:t>
      </w:r>
    </w:p>
    <w:p>
      <w:pPr>
        <w:tabs>
          <w:tab w:val="clear" w:pos="426"/>
        </w:tabs>
        <w:rPr>
          <w:szCs w:val="21"/>
        </w:rPr>
      </w:pPr>
      <w:r>
        <w:rPr>
          <w:rFonts w:hint="eastAsia"/>
          <w:szCs w:val="21"/>
        </w:rPr>
        <w:t>本招标文件的解释权归属深圳市深水水务咨询有限公司。</w:t>
      </w:r>
    </w:p>
    <w:p>
      <w:pPr>
        <w:tabs>
          <w:tab w:val="clear" w:pos="426"/>
        </w:tabs>
      </w:pPr>
      <w:r>
        <w:t>3．定义</w:t>
      </w:r>
    </w:p>
    <w:p>
      <w:pPr>
        <w:tabs>
          <w:tab w:val="clear" w:pos="426"/>
        </w:tabs>
      </w:pPr>
      <w:r>
        <w:t>招标文件中下列术语应解释为：</w:t>
      </w:r>
    </w:p>
    <w:p>
      <w:pPr>
        <w:tabs>
          <w:tab w:val="clear" w:pos="426"/>
        </w:tabs>
      </w:pPr>
      <w:r>
        <w:rPr>
          <w:szCs w:val="21"/>
        </w:rPr>
        <w:t>3.1</w:t>
      </w:r>
      <w:r>
        <w:rPr>
          <w:rFonts w:hint="eastAsia"/>
          <w:szCs w:val="21"/>
        </w:rPr>
        <w:t>“采购代理机构”</w:t>
      </w:r>
      <w:r>
        <w:rPr>
          <w:rFonts w:hint="eastAsia"/>
        </w:rPr>
        <w:t>系指政府设立的负责本级财政性资金的集中采购和招标组织工作的专门机构；本项目</w:t>
      </w:r>
      <w:r>
        <w:t>系指</w:t>
      </w:r>
      <w:r>
        <w:rPr>
          <w:rFonts w:hint="eastAsia"/>
        </w:rPr>
        <w:t>深圳市深水水务咨询有限公司；</w:t>
      </w:r>
    </w:p>
    <w:p>
      <w:pPr>
        <w:tabs>
          <w:tab w:val="clear" w:pos="426"/>
        </w:tabs>
      </w:pPr>
      <w:r>
        <w:t xml:space="preserve">3.2“采购人”或“采购单位”：系指利用财政性资金依法进行采购的国家机关、事业单位、团体组织； </w:t>
      </w:r>
    </w:p>
    <w:p>
      <w:pPr>
        <w:ind w:left="210" w:hanging="210" w:hangingChars="100"/>
      </w:pPr>
      <w:r>
        <w:t>3.3“投标供应商”或“投标方”，即供应商，是指参加投标竞争并愿意按照招标文件要求向采购人提供货物、工程或者服务的依法成立的法人、其他组织或者自然人；</w:t>
      </w:r>
    </w:p>
    <w:p>
      <w:pPr>
        <w:tabs>
          <w:tab w:val="clear" w:pos="426"/>
        </w:tabs>
      </w:pPr>
      <w:r>
        <w:t>3.4“评标委员会”和“谈判小组”是依据有关规定组建的专门负责本次招标其评标（谈判）工作的临时性机构；</w:t>
      </w:r>
    </w:p>
    <w:p>
      <w:pPr>
        <w:tabs>
          <w:tab w:val="clear" w:pos="426"/>
        </w:tabs>
      </w:pPr>
      <w:r>
        <w:t>3.5“日期”指</w:t>
      </w:r>
      <w:r>
        <w:rPr>
          <w:rFonts w:hint="eastAsia"/>
        </w:rPr>
        <w:t>公历日；</w:t>
      </w:r>
    </w:p>
    <w:p>
      <w:pPr>
        <w:tabs>
          <w:tab w:val="clear" w:pos="426"/>
        </w:tabs>
      </w:pPr>
      <w:r>
        <w:t>3.6“合同”指由本次招标所产生的合同或合约文件；</w:t>
      </w:r>
    </w:p>
    <w:p>
      <w:pPr>
        <w:tabs>
          <w:tab w:val="clear" w:pos="426"/>
        </w:tabs>
      </w:pPr>
      <w:r>
        <w:t>3.7招标文件中的标题或题名仅起引导作用，而不应视为对招标文件内容的理解和解释。</w:t>
      </w:r>
    </w:p>
    <w:p>
      <w:pPr>
        <w:tabs>
          <w:tab w:val="clear" w:pos="426"/>
        </w:tabs>
      </w:pPr>
      <w:r>
        <w:t>4.</w:t>
      </w:r>
      <w:r>
        <w:rPr>
          <w:rFonts w:hint="eastAsia"/>
        </w:rPr>
        <w:t>供应商责任</w:t>
      </w:r>
    </w:p>
    <w:p>
      <w:pPr>
        <w:tabs>
          <w:tab w:val="clear" w:pos="426"/>
        </w:tabs>
      </w:pPr>
      <w:r>
        <w:t>4.1欢迎诚信、有实力和有社会责任心的供应商参与采购事业。</w:t>
      </w:r>
    </w:p>
    <w:p>
      <w:pPr>
        <w:tabs>
          <w:tab w:val="clear" w:pos="426"/>
        </w:tabs>
      </w:pPr>
      <w:r>
        <w:t>4.2供应商在采购项目投标过程中应诚实守信，不弄虚作假，不隐瞒真实情况，不围标串标，不恶意质疑投诉。如违反上述要求，经核实后，供应商的投标将作废，没收投标保证金，将该供应商列入不良记录名单并在网上曝光，同时提请相关监督管理部门给予一定年限内禁止参加采购活动的处罚或其他处罚。</w:t>
      </w:r>
    </w:p>
    <w:p>
      <w:pPr>
        <w:tabs>
          <w:tab w:val="clear" w:pos="426"/>
        </w:tabs>
      </w:pPr>
      <w:r>
        <w:t>5．合格的投标供应商</w:t>
      </w:r>
    </w:p>
    <w:p>
      <w:pPr>
        <w:widowControl w:val="0"/>
        <w:shd w:val="clear" w:color="auto" w:fill="auto"/>
        <w:tabs>
          <w:tab w:val="clear" w:pos="426"/>
        </w:tabs>
        <w:autoSpaceDE w:val="0"/>
        <w:autoSpaceDN w:val="0"/>
        <w:rPr>
          <w:szCs w:val="21"/>
        </w:rPr>
      </w:pPr>
      <w:r>
        <w:rPr>
          <w:szCs w:val="21"/>
        </w:rPr>
        <w:t xml:space="preserve">5.1 </w:t>
      </w:r>
      <w:r>
        <w:rPr>
          <w:rFonts w:hint="eastAsia"/>
          <w:szCs w:val="21"/>
        </w:rPr>
        <w:t>投标供应商是响应招标并且符合招标文件规定资格条件和参加投标竞争的法人、其他组织或者自然人。</w:t>
      </w:r>
    </w:p>
    <w:p>
      <w:pPr>
        <w:widowControl w:val="0"/>
        <w:shd w:val="clear" w:color="auto" w:fill="auto"/>
        <w:tabs>
          <w:tab w:val="clear" w:pos="426"/>
        </w:tabs>
        <w:autoSpaceDE w:val="0"/>
        <w:autoSpaceDN w:val="0"/>
        <w:rPr>
          <w:szCs w:val="21"/>
          <w:lang w:eastAsia="zh-TW"/>
        </w:rPr>
      </w:pPr>
      <w:r>
        <w:rPr>
          <w:szCs w:val="21"/>
        </w:rPr>
        <w:t xml:space="preserve">5.2 </w:t>
      </w:r>
      <w:r>
        <w:rPr>
          <w:rFonts w:hint="eastAsia"/>
          <w:szCs w:val="21"/>
          <w:lang w:eastAsia="zh-TW"/>
        </w:rPr>
        <w:t>合格的投标供应商</w:t>
      </w:r>
    </w:p>
    <w:p>
      <w:pPr>
        <w:widowControl w:val="0"/>
        <w:shd w:val="clear" w:color="auto" w:fill="auto"/>
        <w:tabs>
          <w:tab w:val="clear" w:pos="426"/>
        </w:tabs>
        <w:autoSpaceDE w:val="0"/>
        <w:autoSpaceDN w:val="0"/>
        <w:rPr>
          <w:szCs w:val="21"/>
        </w:rPr>
      </w:pPr>
      <w:r>
        <w:rPr>
          <w:szCs w:val="21"/>
        </w:rPr>
        <w:t>5.2.1 具有独立承担民事责任的能力。</w:t>
      </w:r>
    </w:p>
    <w:p>
      <w:pPr>
        <w:widowControl w:val="0"/>
        <w:shd w:val="clear" w:color="auto" w:fill="auto"/>
        <w:tabs>
          <w:tab w:val="clear" w:pos="426"/>
        </w:tabs>
        <w:autoSpaceDE w:val="0"/>
        <w:autoSpaceDN w:val="0"/>
        <w:rPr>
          <w:szCs w:val="21"/>
        </w:rPr>
      </w:pPr>
      <w:r>
        <w:rPr>
          <w:szCs w:val="21"/>
        </w:rPr>
        <w:t>5.2.2 具有良好的商业信誉和健全的财务会计制度</w:t>
      </w:r>
      <w:r>
        <w:rPr>
          <w:rFonts w:hint="eastAsia"/>
          <w:szCs w:val="21"/>
        </w:rPr>
        <w:t>。</w:t>
      </w:r>
    </w:p>
    <w:p>
      <w:pPr>
        <w:widowControl w:val="0"/>
        <w:shd w:val="clear" w:color="auto" w:fill="auto"/>
        <w:tabs>
          <w:tab w:val="clear" w:pos="426"/>
        </w:tabs>
        <w:autoSpaceDE w:val="0"/>
        <w:autoSpaceDN w:val="0"/>
        <w:rPr>
          <w:szCs w:val="21"/>
        </w:rPr>
      </w:pPr>
      <w:r>
        <w:rPr>
          <w:szCs w:val="21"/>
        </w:rPr>
        <w:t>5.2.3 具有履行合同所必需的设备和专业技术能力</w:t>
      </w:r>
      <w:r>
        <w:rPr>
          <w:rFonts w:hint="eastAsia"/>
          <w:szCs w:val="21"/>
        </w:rPr>
        <w:t>。</w:t>
      </w:r>
    </w:p>
    <w:p>
      <w:pPr>
        <w:widowControl w:val="0"/>
        <w:shd w:val="clear" w:color="auto" w:fill="auto"/>
        <w:tabs>
          <w:tab w:val="clear" w:pos="426"/>
        </w:tabs>
        <w:autoSpaceDE w:val="0"/>
        <w:autoSpaceDN w:val="0"/>
        <w:rPr>
          <w:szCs w:val="21"/>
        </w:rPr>
      </w:pPr>
      <w:r>
        <w:rPr>
          <w:szCs w:val="21"/>
        </w:rPr>
        <w:t>5.2.4 有依法缴纳税收和社会保障资金的良好记录</w:t>
      </w:r>
      <w:r>
        <w:rPr>
          <w:rFonts w:hint="eastAsia"/>
          <w:szCs w:val="21"/>
        </w:rPr>
        <w:t>。</w:t>
      </w:r>
    </w:p>
    <w:p>
      <w:pPr>
        <w:widowControl w:val="0"/>
        <w:shd w:val="clear" w:color="auto" w:fill="auto"/>
        <w:tabs>
          <w:tab w:val="clear" w:pos="426"/>
        </w:tabs>
        <w:autoSpaceDE w:val="0"/>
        <w:autoSpaceDN w:val="0"/>
        <w:rPr>
          <w:szCs w:val="21"/>
        </w:rPr>
      </w:pPr>
      <w:r>
        <w:rPr>
          <w:szCs w:val="21"/>
        </w:rPr>
        <w:t>5.2.5 参加采购活动前三年内，在经营活动中没有重大违法记录</w:t>
      </w:r>
      <w:r>
        <w:rPr>
          <w:rFonts w:hint="eastAsia"/>
          <w:szCs w:val="21"/>
        </w:rPr>
        <w:t>。</w:t>
      </w:r>
    </w:p>
    <w:p>
      <w:pPr>
        <w:widowControl w:val="0"/>
        <w:shd w:val="clear" w:color="auto" w:fill="auto"/>
        <w:tabs>
          <w:tab w:val="clear" w:pos="426"/>
        </w:tabs>
        <w:autoSpaceDE w:val="0"/>
        <w:autoSpaceDN w:val="0"/>
        <w:rPr>
          <w:szCs w:val="21"/>
        </w:rPr>
      </w:pPr>
      <w:r>
        <w:rPr>
          <w:szCs w:val="21"/>
        </w:rPr>
        <w:t>5.2.6 法律、行政法规规定的其他条件</w:t>
      </w:r>
      <w:r>
        <w:rPr>
          <w:rFonts w:hint="eastAsia"/>
          <w:szCs w:val="21"/>
        </w:rPr>
        <w:t>。</w:t>
      </w:r>
    </w:p>
    <w:p>
      <w:pPr>
        <w:widowControl w:val="0"/>
        <w:shd w:val="clear" w:color="auto" w:fill="auto"/>
        <w:tabs>
          <w:tab w:val="clear" w:pos="426"/>
        </w:tabs>
        <w:autoSpaceDE w:val="0"/>
        <w:autoSpaceDN w:val="0"/>
        <w:rPr>
          <w:szCs w:val="21"/>
        </w:rPr>
      </w:pPr>
      <w:r>
        <w:rPr>
          <w:szCs w:val="21"/>
        </w:rPr>
        <w:t xml:space="preserve">5.2.7 </w:t>
      </w:r>
      <w:r>
        <w:rPr>
          <w:rFonts w:hint="eastAsia"/>
          <w:szCs w:val="21"/>
        </w:rPr>
        <w:t>只有在法律上和财务上独立、合法运作并独立于采购人和代理机构的供货商才能参加投标。</w:t>
      </w:r>
    </w:p>
    <w:p>
      <w:pPr>
        <w:widowControl w:val="0"/>
        <w:shd w:val="clear" w:color="auto" w:fill="auto"/>
        <w:tabs>
          <w:tab w:val="clear" w:pos="426"/>
        </w:tabs>
        <w:autoSpaceDE w:val="0"/>
        <w:autoSpaceDN w:val="0"/>
        <w:rPr>
          <w:b/>
          <w:szCs w:val="21"/>
        </w:rPr>
      </w:pPr>
      <w:r>
        <w:rPr>
          <w:szCs w:val="21"/>
        </w:rPr>
        <w:t xml:space="preserve">5.2.8 </w:t>
      </w:r>
      <w:r>
        <w:rPr>
          <w:rFonts w:hint="eastAsia"/>
          <w:szCs w:val="21"/>
        </w:rPr>
        <w:t>法定代表人或单位负责人为同一人或者存在直接控股、管理关系的不同单位不得同时参与同一个项目（包组）的竞争。</w:t>
      </w:r>
    </w:p>
    <w:p>
      <w:pPr>
        <w:widowControl w:val="0"/>
        <w:shd w:val="clear" w:color="auto" w:fill="auto"/>
        <w:tabs>
          <w:tab w:val="clear" w:pos="426"/>
        </w:tabs>
        <w:autoSpaceDE w:val="0"/>
        <w:autoSpaceDN w:val="0"/>
        <w:rPr>
          <w:szCs w:val="21"/>
        </w:rPr>
      </w:pPr>
      <w:r>
        <w:rPr>
          <w:szCs w:val="21"/>
        </w:rPr>
        <w:t xml:space="preserve">5.2.9 </w:t>
      </w:r>
      <w:r>
        <w:rPr>
          <w:rFonts w:hint="eastAsia"/>
          <w:szCs w:val="21"/>
        </w:rPr>
        <w:t>符合</w:t>
      </w:r>
      <w:r>
        <w:rPr>
          <w:rFonts w:hint="eastAsia" w:cs="黑体"/>
          <w:szCs w:val="21"/>
        </w:rPr>
        <w:t>第一章采购公告“投标供应商资格要求”</w:t>
      </w:r>
      <w:r>
        <w:rPr>
          <w:rFonts w:hint="eastAsia"/>
          <w:szCs w:val="21"/>
        </w:rPr>
        <w:t>的条款</w:t>
      </w:r>
      <w:r>
        <w:rPr>
          <w:rFonts w:hint="eastAsia" w:cs="黑体"/>
          <w:szCs w:val="21"/>
        </w:rPr>
        <w:t>。</w:t>
      </w:r>
    </w:p>
    <w:p>
      <w:pPr>
        <w:widowControl w:val="0"/>
        <w:shd w:val="clear" w:color="auto" w:fill="auto"/>
        <w:tabs>
          <w:tab w:val="clear" w:pos="426"/>
        </w:tabs>
        <w:autoSpaceDE w:val="0"/>
        <w:autoSpaceDN w:val="0"/>
        <w:rPr>
          <w:szCs w:val="21"/>
        </w:rPr>
      </w:pPr>
      <w:r>
        <w:rPr>
          <w:szCs w:val="21"/>
        </w:rPr>
        <w:t xml:space="preserve">5.3 </w:t>
      </w:r>
      <w:r>
        <w:rPr>
          <w:rFonts w:hint="eastAsia"/>
          <w:szCs w:val="21"/>
        </w:rPr>
        <w:t>中标供应商是指经法定程序确定并授予合同的投标供应商。</w:t>
      </w:r>
    </w:p>
    <w:p>
      <w:pPr>
        <w:tabs>
          <w:tab w:val="clear" w:pos="426"/>
        </w:tabs>
      </w:pPr>
      <w:r>
        <w:t>6．联合体投标</w:t>
      </w:r>
    </w:p>
    <w:p>
      <w:pPr>
        <w:tabs>
          <w:tab w:val="clear" w:pos="426"/>
        </w:tabs>
      </w:pPr>
      <w:r>
        <w:t>6.1　以下有关联合体投标的条款仅适用于允许投标供应商组成联合体投标的项目。</w:t>
      </w:r>
    </w:p>
    <w:p>
      <w:pPr>
        <w:tabs>
          <w:tab w:val="clear" w:pos="426"/>
        </w:tabs>
      </w:pPr>
      <w:r>
        <w:t>6.2　由两个或两个以上的自然人、法人或者其他组织可以组成一个联合体，以一个供应商的身份共同投标时，应符合以下原则：</w:t>
      </w:r>
    </w:p>
    <w:p>
      <w:pPr>
        <w:tabs>
          <w:tab w:val="clear" w:pos="426"/>
        </w:tabs>
      </w:pPr>
      <w:r>
        <w:t>6.2.</w:t>
      </w:r>
      <w:r>
        <w:rPr>
          <w:bCs/>
        </w:rPr>
        <w:t>1投标联合体应满足采购公告有关投标供应商资格要求中对联合体的要求；</w:t>
      </w:r>
    </w:p>
    <w:p>
      <w:pPr>
        <w:tabs>
          <w:tab w:val="clear" w:pos="426"/>
        </w:tabs>
      </w:pPr>
      <w:r>
        <w:t>6.2.2对于采购公告中所要求投标供应商应具有的某一资质，若联合体各方均具有，则将以联合体各方中最低的资质等级作为联合体在这一资质条件上的资质等级；联合体各方的不同资质可优势互补。</w:t>
      </w:r>
    </w:p>
    <w:p>
      <w:pPr>
        <w:tabs>
          <w:tab w:val="clear" w:pos="426"/>
        </w:tabs>
      </w:pPr>
      <w:r>
        <w:t>6.2.3投标供应商的投标文件及中标后签署的合同协议对联合体各方均具法律约束力；</w:t>
      </w:r>
    </w:p>
    <w:p>
      <w:pPr>
        <w:tabs>
          <w:tab w:val="clear" w:pos="426"/>
        </w:tabs>
      </w:pPr>
      <w:r>
        <w:t>6.2.4联合体各方应当签订共同投标协议，明确约定各方拟承担的工作和责任，并将该共同投标协议随投标文件一并递交给代理机构；</w:t>
      </w:r>
    </w:p>
    <w:p>
      <w:pPr>
        <w:tabs>
          <w:tab w:val="clear" w:pos="426"/>
        </w:tabs>
      </w:pPr>
      <w:r>
        <w:t>6.2.5联合体的各方应当共同推荐一联合体投标授权代表人，由联合体各方提交一份授权书，证明其有资格代表联合体各方签署投标文件，该授权书作为投标文件的组成部分一并提交给代理机构；</w:t>
      </w:r>
    </w:p>
    <w:p>
      <w:pPr>
        <w:tabs>
          <w:tab w:val="clear" w:pos="426"/>
        </w:tabs>
      </w:pPr>
      <w:r>
        <w:t>6.2.6参加联合体的各方不得再以自己的名义单独投标，不得同时参加两个或两个以上的联合体投标、不得以分包商或其它形式参与投标，出现上述情况者，其投标和与此有关联合体、总包单位的投标将被拒绝；</w:t>
      </w:r>
    </w:p>
    <w:p>
      <w:pPr>
        <w:tabs>
          <w:tab w:val="clear" w:pos="426"/>
        </w:tabs>
      </w:pPr>
      <w:r>
        <w:t>6.2.7除非另有规定或说明，本须知中“投标供应商”一词亦指联合体各方。</w:t>
      </w:r>
    </w:p>
    <w:p>
      <w:pPr>
        <w:tabs>
          <w:tab w:val="clear" w:pos="426"/>
        </w:tabs>
      </w:pPr>
      <w:r>
        <w:t xml:space="preserve">7. </w:t>
      </w:r>
      <w:r>
        <w:rPr>
          <w:rFonts w:hint="eastAsia"/>
        </w:rPr>
        <w:t>合格的服务和货物</w:t>
      </w:r>
    </w:p>
    <w:p>
      <w:pPr>
        <w:widowControl w:val="0"/>
        <w:shd w:val="clear" w:color="auto" w:fill="auto"/>
        <w:tabs>
          <w:tab w:val="clear" w:pos="426"/>
        </w:tabs>
        <w:autoSpaceDE w:val="0"/>
        <w:autoSpaceDN w:val="0"/>
        <w:rPr>
          <w:szCs w:val="21"/>
        </w:rPr>
      </w:pPr>
      <w:r>
        <w:rPr>
          <w:szCs w:val="21"/>
        </w:rPr>
        <w:t xml:space="preserve">7.1 </w:t>
      </w:r>
      <w:r>
        <w:rPr>
          <w:rFonts w:hint="eastAsia"/>
          <w:szCs w:val="21"/>
        </w:rPr>
        <w:t>“服务”是指投标供应商按招标文件规定完成的全部服务内容，其中包括完成服务所需的货物，及须承担的技术支持、培训和其它伴随服务。</w:t>
      </w:r>
    </w:p>
    <w:p>
      <w:pPr>
        <w:widowControl w:val="0"/>
        <w:shd w:val="clear" w:color="auto" w:fill="auto"/>
        <w:tabs>
          <w:tab w:val="clear" w:pos="426"/>
        </w:tabs>
        <w:autoSpaceDE w:val="0"/>
        <w:autoSpaceDN w:val="0"/>
        <w:rPr>
          <w:rFonts w:cs="黑体"/>
          <w:b/>
          <w:bCs/>
          <w:szCs w:val="21"/>
        </w:rPr>
      </w:pPr>
      <w:r>
        <w:rPr>
          <w:szCs w:val="21"/>
        </w:rPr>
        <w:t xml:space="preserve">7.2 </w:t>
      </w:r>
      <w:r>
        <w:rPr>
          <w:rFonts w:hint="eastAsia"/>
          <w:szCs w:val="21"/>
        </w:rPr>
        <w:t>“货物”是指投标供应商制造或组织符合招标文件要求的货物等。投标的货物必须是其合法生产、合法来源的符合国家有关标准要求的货物，并满足招标文件规定的规格、参数、质量、价格、有效期、售后服务等要求。</w:t>
      </w:r>
    </w:p>
    <w:p>
      <w:pPr>
        <w:widowControl w:val="0"/>
        <w:shd w:val="clear" w:color="auto" w:fill="auto"/>
        <w:tabs>
          <w:tab w:val="clear" w:pos="426"/>
        </w:tabs>
        <w:autoSpaceDE w:val="0"/>
        <w:autoSpaceDN w:val="0"/>
        <w:rPr>
          <w:szCs w:val="21"/>
        </w:rPr>
      </w:pPr>
      <w:r>
        <w:rPr>
          <w:szCs w:val="21"/>
        </w:rPr>
        <w:t xml:space="preserve">7.3 </w:t>
      </w:r>
      <w:r>
        <w:rPr>
          <w:rFonts w:hint="eastAsia"/>
          <w:szCs w:val="21"/>
        </w:rPr>
        <w:t>投标供应商提供的所有服务，其质量、技术等特征必须符合国家、行业现行法律、法规的相关标准和《中华人民共和国政府采购法》的有关规定及用户需求。</w:t>
      </w:r>
    </w:p>
    <w:p>
      <w:pPr>
        <w:widowControl w:val="0"/>
        <w:shd w:val="clear" w:color="auto" w:fill="auto"/>
        <w:tabs>
          <w:tab w:val="clear" w:pos="426"/>
        </w:tabs>
        <w:autoSpaceDE w:val="0"/>
        <w:autoSpaceDN w:val="0"/>
        <w:rPr>
          <w:szCs w:val="21"/>
        </w:rPr>
      </w:pPr>
      <w:r>
        <w:rPr>
          <w:szCs w:val="21"/>
        </w:rPr>
        <w:t xml:space="preserve">7.4 </w:t>
      </w:r>
      <w:r>
        <w:rPr>
          <w:rFonts w:hint="eastAsia"/>
          <w:szCs w:val="21"/>
        </w:rPr>
        <w:t>采购人有权拒绝接受任何不合格的服务，由此产生的费用及相关后果均由供应商自行承担。</w:t>
      </w:r>
    </w:p>
    <w:p>
      <w:pPr>
        <w:widowControl w:val="0"/>
        <w:shd w:val="clear" w:color="auto" w:fill="auto"/>
        <w:tabs>
          <w:tab w:val="clear" w:pos="426"/>
        </w:tabs>
        <w:autoSpaceDE w:val="0"/>
        <w:autoSpaceDN w:val="0"/>
        <w:rPr>
          <w:szCs w:val="21"/>
        </w:rPr>
      </w:pPr>
      <w:r>
        <w:rPr>
          <w:szCs w:val="21"/>
        </w:rPr>
        <w:t xml:space="preserve">7.5 </w:t>
      </w:r>
      <w:r>
        <w:rPr>
          <w:rFonts w:hint="eastAsia"/>
          <w:szCs w:val="21"/>
        </w:rPr>
        <w:t>投标供应商应保证本项目的投标技术、服务或其任何一部分不会产生因第三方提出侵犯其专利权、商标权或其他知识产权而引起的法律和经济纠纷；如果投标供应商不拥有相应的知识产权，则须在报价中包括合法获取该知识产权的相关费用，并在投标文件中附有相关证明文件。如因第三方提出其专利权、商标权或其他知识产权的侵权之诉，则一切法律责任由投标供应商承担。</w:t>
      </w:r>
    </w:p>
    <w:p>
      <w:pPr>
        <w:tabs>
          <w:tab w:val="clear" w:pos="426"/>
        </w:tabs>
      </w:pPr>
      <w:r>
        <w:t>8．投标费用</w:t>
      </w:r>
    </w:p>
    <w:p>
      <w:pPr>
        <w:tabs>
          <w:tab w:val="clear" w:pos="426"/>
        </w:tabs>
      </w:pPr>
      <w:r>
        <w:rPr>
          <w:rFonts w:hint="eastAsia"/>
        </w:rPr>
        <w:t>不论投标结果如何，投标供应商应承担其编制投标文件与递交投标文件所涉及的一切费用。</w:t>
      </w:r>
      <w:r>
        <w:rPr>
          <w:rFonts w:hint="eastAsia"/>
          <w:szCs w:val="21"/>
          <w:lang w:eastAsia="zh-TW"/>
        </w:rPr>
        <w:t>不论投标的结果如何</w:t>
      </w:r>
      <w:r>
        <w:rPr>
          <w:rFonts w:hint="eastAsia"/>
          <w:szCs w:val="21"/>
        </w:rPr>
        <w:t>，</w:t>
      </w:r>
      <w:r>
        <w:rPr>
          <w:rFonts w:hint="eastAsia"/>
          <w:szCs w:val="21"/>
          <w:lang w:eastAsia="zh-TW"/>
        </w:rPr>
        <w:t>招标采购单位均无义务和责任承担这些费用</w:t>
      </w:r>
      <w:r>
        <w:rPr>
          <w:rFonts w:hint="eastAsia"/>
          <w:szCs w:val="21"/>
        </w:rPr>
        <w:t>。</w:t>
      </w:r>
    </w:p>
    <w:p>
      <w:pPr>
        <w:tabs>
          <w:tab w:val="clear" w:pos="426"/>
        </w:tabs>
      </w:pPr>
      <w:r>
        <w:t>9．踏勘现场</w:t>
      </w:r>
    </w:p>
    <w:p>
      <w:pPr>
        <w:tabs>
          <w:tab w:val="clear" w:pos="426"/>
        </w:tabs>
      </w:pPr>
      <w:r>
        <w:t>9.1如有需要，采购代理机构或采购单位将组织投标供应商对项目现场及周围环境进行踏勘，以便投标供应商获取有关编制投标文件和签署合同所需的所有资料。踏勘现场所发生的费用和风险由投标供应商自己承担，投标供应商应按采购公告所约定的时间、地点统一踏勘现场。</w:t>
      </w:r>
    </w:p>
    <w:p>
      <w:pPr>
        <w:tabs>
          <w:tab w:val="clear" w:pos="426"/>
        </w:tabs>
      </w:pPr>
      <w:r>
        <w:t>9.2投标供应商及其人员经过采购单位的允许，可以踏勘目的进入采购单位的项目现场。若本项目招标文件要求投标供应商于统一时间地点踏勘现场的，投标供应商按时前往。</w:t>
      </w:r>
    </w:p>
    <w:p>
      <w:pPr>
        <w:tabs>
          <w:tab w:val="clear" w:pos="426"/>
        </w:tabs>
      </w:pPr>
      <w:r>
        <w:t>9.3采购单位必须通过采购代理机构向投标供应商提供有关现场的资料和数据。</w:t>
      </w:r>
    </w:p>
    <w:p>
      <w:pPr>
        <w:tabs>
          <w:tab w:val="clear" w:pos="426"/>
        </w:tabs>
      </w:pPr>
      <w:r>
        <w:t>9.4任何人或任何组织在踏勘现场时向投标供应商提交的任何书面或口头上的资料，未经采购代理机构在网上发布或书面通知，均作无效处理。采购代理机构对投标供应商由此而做出的推论、理解和结论概不负责。</w:t>
      </w:r>
    </w:p>
    <w:p>
      <w:pPr>
        <w:tabs>
          <w:tab w:val="clear" w:pos="426"/>
        </w:tabs>
      </w:pPr>
      <w:r>
        <w:t xml:space="preserve">9.5 </w:t>
      </w:r>
      <w:r>
        <w:rPr>
          <w:rFonts w:hint="eastAsia"/>
        </w:rPr>
        <w:t>未参与现场踏勘不作为否定投标供应商资格的理由。</w:t>
      </w:r>
    </w:p>
    <w:p>
      <w:pPr>
        <w:tabs>
          <w:tab w:val="clear" w:pos="426"/>
        </w:tabs>
      </w:pPr>
      <w:r>
        <w:t>10．招标答疑</w:t>
      </w:r>
    </w:p>
    <w:p>
      <w:pPr>
        <w:tabs>
          <w:tab w:val="clear" w:pos="426"/>
        </w:tabs>
      </w:pPr>
      <w:r>
        <w:t>10.1招标答疑的目的是澄清、解答投标供应商在查阅招标文件后或现场踏勘中可能提出的与投标有关的疑问或询问。</w:t>
      </w:r>
    </w:p>
    <w:p>
      <w:pPr>
        <w:tabs>
          <w:tab w:val="clear" w:pos="426"/>
        </w:tabs>
      </w:pPr>
      <w:r>
        <w:t xml:space="preserve">10.2投标供应商提出的与投标有关的问题须在招标文件规定的答疑截止时间前以 </w:t>
      </w:r>
      <w:r>
        <w:rPr>
          <w:rFonts w:hint="eastAsia"/>
        </w:rPr>
        <w:t>“质疑函</w:t>
      </w:r>
      <w:r>
        <w:t>”</w:t>
      </w:r>
      <w:r>
        <w:rPr>
          <w:rFonts w:hint="eastAsia"/>
        </w:rPr>
        <w:t>的形式提交给采购代理机构，质疑函应该加盖质疑单位公章。</w:t>
      </w:r>
    </w:p>
    <w:p>
      <w:pPr>
        <w:tabs>
          <w:tab w:val="clear" w:pos="426"/>
        </w:tabs>
      </w:pPr>
      <w:r>
        <w:t>10.3采购代理机构对疑问所做出的澄清和解答，以书面答复（包括网站发布信息）为准。答疑纪要的有效性规定按照本通用条款第13.3</w:t>
      </w:r>
      <w:r>
        <w:rPr>
          <w:rFonts w:hint="eastAsia"/>
        </w:rPr>
        <w:t>、</w:t>
      </w:r>
      <w:r>
        <w:t>13.4</w:t>
      </w:r>
      <w:r>
        <w:rPr>
          <w:rFonts w:hint="eastAsia"/>
        </w:rPr>
        <w:t>款规定执行。</w:t>
      </w:r>
    </w:p>
    <w:p>
      <w:pPr>
        <w:tabs>
          <w:tab w:val="clear" w:pos="426"/>
        </w:tabs>
      </w:pPr>
      <w:r>
        <w:t>10.4如采购代理机构认为有必要组织现场答疑会，投标供应商应按照招标文件规定的时间或采购代理机构另行书面通知（包括网站发布的通知）的时间和地点，参与现场答疑会。</w:t>
      </w:r>
    </w:p>
    <w:p>
      <w:pPr>
        <w:tabs>
          <w:tab w:val="clear" w:pos="426"/>
        </w:tabs>
      </w:pPr>
      <w:r>
        <w:t>10.5未参与招标答疑不作为否定投标供应商资格的理由。</w:t>
      </w:r>
    </w:p>
    <w:p>
      <w:pPr>
        <w:pStyle w:val="4"/>
        <w:tabs>
          <w:tab w:val="clear" w:pos="426"/>
        </w:tabs>
      </w:pPr>
      <w:bookmarkStart w:id="202" w:name="_Toc529280582"/>
      <w:bookmarkStart w:id="203" w:name="_Toc530152523"/>
      <w:bookmarkStart w:id="204" w:name="_Toc1159"/>
      <w:bookmarkStart w:id="205" w:name="_Toc14427255"/>
      <w:r>
        <w:rPr>
          <w:rFonts w:hint="eastAsia"/>
        </w:rPr>
        <w:t>第二章</w:t>
      </w:r>
      <w:r>
        <w:t xml:space="preserve"> </w:t>
      </w:r>
      <w:r>
        <w:rPr>
          <w:rFonts w:hint="eastAsia"/>
        </w:rPr>
        <w:t>招标文件</w:t>
      </w:r>
      <w:bookmarkEnd w:id="202"/>
      <w:bookmarkEnd w:id="203"/>
      <w:bookmarkEnd w:id="204"/>
      <w:bookmarkEnd w:id="205"/>
    </w:p>
    <w:p>
      <w:pPr>
        <w:tabs>
          <w:tab w:val="clear" w:pos="426"/>
        </w:tabs>
      </w:pPr>
      <w:r>
        <w:t>11．招标文件的编制与组成</w:t>
      </w:r>
    </w:p>
    <w:p>
      <w:pPr>
        <w:tabs>
          <w:tab w:val="clear" w:pos="426"/>
        </w:tabs>
      </w:pPr>
      <w:r>
        <w:t>11.1招标文件除以下内容外，采购代理机构在招标（或谈判）期间发出的答疑纪要和其他补充修改函件，均是招标文件的组成部分，对投标供应商起约束作用；</w:t>
      </w:r>
    </w:p>
    <w:p>
      <w:pPr>
        <w:tabs>
          <w:tab w:val="clear" w:pos="426"/>
        </w:tabs>
      </w:pPr>
      <w:r>
        <w:rPr>
          <w:rFonts w:hint="eastAsia"/>
        </w:rPr>
        <w:t>招标文件包括下列内容：</w:t>
      </w:r>
    </w:p>
    <w:p>
      <w:pPr>
        <w:tabs>
          <w:tab w:val="clear" w:pos="426"/>
        </w:tabs>
      </w:pPr>
      <w:r>
        <w:rPr>
          <w:rFonts w:hint="eastAsia"/>
        </w:rPr>
        <w:t>项目关键信息</w:t>
      </w:r>
    </w:p>
    <w:p>
      <w:pPr>
        <w:tabs>
          <w:tab w:val="clear" w:pos="426"/>
        </w:tabs>
      </w:pPr>
      <w:r>
        <w:rPr>
          <w:rFonts w:hint="eastAsia"/>
        </w:rPr>
        <w:t>评标信息</w:t>
      </w:r>
    </w:p>
    <w:p>
      <w:pPr>
        <w:tabs>
          <w:tab w:val="clear" w:pos="426"/>
        </w:tabs>
      </w:pPr>
      <w:r>
        <w:rPr>
          <w:rFonts w:hint="eastAsia"/>
        </w:rPr>
        <w:t>第一册专用条款</w:t>
      </w:r>
    </w:p>
    <w:p>
      <w:pPr>
        <w:tabs>
          <w:tab w:val="clear" w:pos="426"/>
        </w:tabs>
      </w:pPr>
      <w:r>
        <w:rPr>
          <w:rFonts w:hint="eastAsia"/>
        </w:rPr>
        <w:t>第一章采购公告</w:t>
      </w:r>
    </w:p>
    <w:p>
      <w:pPr>
        <w:tabs>
          <w:tab w:val="clear" w:pos="426"/>
        </w:tabs>
      </w:pPr>
      <w:r>
        <w:rPr>
          <w:rFonts w:hint="eastAsia"/>
        </w:rPr>
        <w:t>第二章招标项目需求</w:t>
      </w:r>
    </w:p>
    <w:p>
      <w:pPr>
        <w:tabs>
          <w:tab w:val="clear" w:pos="426"/>
        </w:tabs>
      </w:pPr>
      <w:r>
        <w:rPr>
          <w:rFonts w:hint="eastAsia"/>
        </w:rPr>
        <w:t>第三章合同条款及格式</w:t>
      </w:r>
    </w:p>
    <w:p>
      <w:pPr>
        <w:tabs>
          <w:tab w:val="clear" w:pos="426"/>
        </w:tabs>
      </w:pPr>
      <w:r>
        <w:rPr>
          <w:rFonts w:hint="eastAsia"/>
        </w:rPr>
        <w:t>第四章投标文件格式、附件</w:t>
      </w:r>
    </w:p>
    <w:p>
      <w:pPr>
        <w:tabs>
          <w:tab w:val="clear" w:pos="426"/>
        </w:tabs>
      </w:pPr>
      <w:r>
        <w:rPr>
          <w:rFonts w:hint="eastAsia"/>
        </w:rPr>
        <w:t>第二册通用条款</w:t>
      </w:r>
    </w:p>
    <w:p>
      <w:pPr>
        <w:tabs>
          <w:tab w:val="clear" w:pos="426"/>
        </w:tabs>
      </w:pPr>
      <w:r>
        <w:rPr>
          <w:rFonts w:hint="eastAsia"/>
        </w:rPr>
        <w:t>第一章总则</w:t>
      </w:r>
    </w:p>
    <w:p>
      <w:pPr>
        <w:tabs>
          <w:tab w:val="clear" w:pos="426"/>
        </w:tabs>
      </w:pPr>
      <w:r>
        <w:rPr>
          <w:rFonts w:hint="eastAsia"/>
        </w:rPr>
        <w:t>第二章招标文件</w:t>
      </w:r>
    </w:p>
    <w:p>
      <w:pPr>
        <w:tabs>
          <w:tab w:val="clear" w:pos="426"/>
        </w:tabs>
      </w:pPr>
      <w:r>
        <w:rPr>
          <w:rFonts w:hint="eastAsia"/>
        </w:rPr>
        <w:t>第三章投标文件的编制与递交</w:t>
      </w:r>
    </w:p>
    <w:p>
      <w:pPr>
        <w:tabs>
          <w:tab w:val="clear" w:pos="426"/>
        </w:tabs>
      </w:pPr>
      <w:r>
        <w:rPr>
          <w:rFonts w:hint="eastAsia"/>
        </w:rPr>
        <w:t>第四章开标</w:t>
      </w:r>
    </w:p>
    <w:p>
      <w:pPr>
        <w:tabs>
          <w:tab w:val="clear" w:pos="426"/>
        </w:tabs>
      </w:pPr>
      <w:r>
        <w:rPr>
          <w:rFonts w:hint="eastAsia"/>
        </w:rPr>
        <w:t>第五章评标要求</w:t>
      </w:r>
    </w:p>
    <w:p>
      <w:pPr>
        <w:tabs>
          <w:tab w:val="clear" w:pos="426"/>
        </w:tabs>
      </w:pPr>
      <w:r>
        <w:rPr>
          <w:rFonts w:hint="eastAsia"/>
        </w:rPr>
        <w:t>第六章评标程序及评标方法</w:t>
      </w:r>
    </w:p>
    <w:p>
      <w:pPr>
        <w:tabs>
          <w:tab w:val="clear" w:pos="426"/>
        </w:tabs>
      </w:pPr>
      <w:r>
        <w:rPr>
          <w:rFonts w:hint="eastAsia"/>
        </w:rPr>
        <w:t>第七章定标及公示</w:t>
      </w:r>
    </w:p>
    <w:p>
      <w:pPr>
        <w:tabs>
          <w:tab w:val="clear" w:pos="426"/>
        </w:tabs>
      </w:pPr>
      <w:r>
        <w:rPr>
          <w:rFonts w:hint="eastAsia"/>
        </w:rPr>
        <w:t>第八章公开招标失败的后续处理</w:t>
      </w:r>
    </w:p>
    <w:p>
      <w:pPr>
        <w:tabs>
          <w:tab w:val="clear" w:pos="426"/>
        </w:tabs>
      </w:pPr>
      <w:r>
        <w:rPr>
          <w:rFonts w:hint="eastAsia"/>
        </w:rPr>
        <w:t>第九章合同的授予与备案</w:t>
      </w:r>
    </w:p>
    <w:p>
      <w:pPr>
        <w:tabs>
          <w:tab w:val="clear" w:pos="426"/>
        </w:tabs>
      </w:pPr>
      <w:r>
        <w:rPr>
          <w:rFonts w:hint="eastAsia"/>
        </w:rPr>
        <w:t>第十章质疑处理</w:t>
      </w:r>
    </w:p>
    <w:p>
      <w:pPr>
        <w:tabs>
          <w:tab w:val="clear" w:pos="426"/>
        </w:tabs>
      </w:pPr>
      <w:r>
        <w:t xml:space="preserve">11.2 </w:t>
      </w:r>
      <w:r>
        <w:rPr>
          <w:rFonts w:hint="eastAsia"/>
        </w:rPr>
        <w:t>投标供应商购买招标文件后，应仔细检查招标文件的所有内容，如有残缺应在答疑截止时间之前向采购代理机构提出，否则，由此引起的投标损失自负；投标供应商同时应认真审阅招标文件所有的事项、格式、条款和规范要求等，如果投标供应商的投标文件没有按招标文件要求提交全部资料或者投标文件没有对招标文件做出实质性响应，其风险应由投标供应商自行承担，并根据有关条款规定，其投标有可能被拒绝。</w:t>
      </w:r>
    </w:p>
    <w:p>
      <w:pPr>
        <w:tabs>
          <w:tab w:val="clear" w:pos="426"/>
        </w:tabs>
        <w:rPr>
          <w:szCs w:val="21"/>
        </w:rPr>
      </w:pPr>
      <w:r>
        <w:rPr>
          <w:szCs w:val="21"/>
        </w:rPr>
        <w:t>11.3</w:t>
      </w:r>
      <w:r>
        <w:rPr>
          <w:rFonts w:hint="eastAsia"/>
        </w:rPr>
        <w:t>任何人或任何组织向投标供应商提交的任何书面或口头资料，未经采购代理机构在网上发布或书面通知，均作无效处理，不得作为招标文件的组成部分。采购代理机构对投标供应商由此而做出的推论、理解和结论概不负责。</w:t>
      </w:r>
    </w:p>
    <w:p>
      <w:pPr>
        <w:tabs>
          <w:tab w:val="clear" w:pos="426"/>
        </w:tabs>
      </w:pPr>
      <w:r>
        <w:t>12．招标文件的澄清</w:t>
      </w:r>
    </w:p>
    <w:p>
      <w:pPr>
        <w:tabs>
          <w:tab w:val="clear" w:pos="426"/>
        </w:tabs>
      </w:pPr>
      <w:r>
        <w:t>12.1投标供应商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供应商的要求对招标文件做出澄清，采购代理机构都将在投标截止日期前以书面形式答复或发送给所有投标供应商。澄清纪要作为招标文件的组成部分，对投标供应商起约束作用；</w:t>
      </w:r>
    </w:p>
    <w:p>
      <w:pPr>
        <w:tabs>
          <w:tab w:val="clear" w:pos="426"/>
        </w:tabs>
      </w:pPr>
      <w:r>
        <w:t>12.2对于没有提出澄清又参与了该项目投标的供应商将被视为完全认同该招标文件（含澄清纪要），投标截止期后不再受理针对招标文件的相关质疑或投诉。</w:t>
      </w:r>
    </w:p>
    <w:p>
      <w:pPr>
        <w:tabs>
          <w:tab w:val="clear" w:pos="426"/>
        </w:tabs>
      </w:pPr>
      <w:r>
        <w:t xml:space="preserve">12.3 </w:t>
      </w:r>
      <w:r>
        <w:rPr>
          <w:rFonts w:hint="eastAsia"/>
        </w:rPr>
        <w:t>对招标文件中描述有歧意或前后不一致的地方，评标委员会有权进行评判，但对同一条款的评判应适用于每个投标供应商。</w:t>
      </w:r>
    </w:p>
    <w:p>
      <w:pPr>
        <w:tabs>
          <w:tab w:val="clear" w:pos="426"/>
        </w:tabs>
      </w:pPr>
      <w:r>
        <w:t>13．招标文件的修改</w:t>
      </w:r>
    </w:p>
    <w:p>
      <w:pPr>
        <w:tabs>
          <w:tab w:val="clear" w:pos="426"/>
        </w:tabs>
      </w:pPr>
      <w:r>
        <w:t>13.1招标文件发出后，在投标截止日期前任何时候，确需要变更招标内容的，采购代理机构可主动地或在解答投标供应商提出的澄清问题时对招标文件进行修改；</w:t>
      </w:r>
    </w:p>
    <w:p>
      <w:pPr>
        <w:tabs>
          <w:tab w:val="clear" w:pos="426"/>
        </w:tabs>
      </w:pPr>
      <w:r>
        <w:t>13.2招标文件的修改以书面形式（包括网站公开发布方式）发送给所有投标供应商，招标文件的修改内容作为招标文件的组成部分，并具有约束力。</w:t>
      </w:r>
    </w:p>
    <w:p>
      <w:pPr>
        <w:tabs>
          <w:tab w:val="clear" w:pos="426"/>
        </w:tabs>
      </w:pPr>
      <w:r>
        <w:t>13.3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pPr>
        <w:tabs>
          <w:tab w:val="clear" w:pos="426"/>
        </w:tabs>
      </w:pPr>
      <w:r>
        <w:t>13.4采购代理机构保证招标文件澄清（答疑）纪要和招标文件修改补充通知在投标截止时间前以网站公开发布形式或书面形式发送给所有投标供应商。为使投标供应商在编写投标文件时有充分时间对招标文件的修改部分进行研究，采购代理机构可以酌情延长递交投标文件的截止日期，具体时间将在修改补充通知中明确。</w:t>
      </w:r>
    </w:p>
    <w:p>
      <w:pPr>
        <w:pStyle w:val="4"/>
        <w:tabs>
          <w:tab w:val="clear" w:pos="426"/>
        </w:tabs>
      </w:pPr>
      <w:bookmarkStart w:id="206" w:name="_Toc530152524"/>
      <w:bookmarkStart w:id="207" w:name="_Toc14427256"/>
      <w:bookmarkStart w:id="208" w:name="_Toc529280583"/>
      <w:bookmarkStart w:id="209" w:name="_Toc32581"/>
      <w:r>
        <w:rPr>
          <w:rFonts w:hint="eastAsia"/>
        </w:rPr>
        <w:t>第三章</w:t>
      </w:r>
      <w:r>
        <w:t xml:space="preserve"> </w:t>
      </w:r>
      <w:r>
        <w:rPr>
          <w:rFonts w:hint="eastAsia"/>
        </w:rPr>
        <w:t>投标文件的编制与递交</w:t>
      </w:r>
      <w:bookmarkEnd w:id="206"/>
      <w:bookmarkEnd w:id="207"/>
      <w:bookmarkEnd w:id="208"/>
      <w:bookmarkEnd w:id="209"/>
    </w:p>
    <w:p>
      <w:pPr>
        <w:tabs>
          <w:tab w:val="clear" w:pos="426"/>
        </w:tabs>
      </w:pPr>
      <w:r>
        <w:t>14．投标文件的语言及度量单位</w:t>
      </w:r>
    </w:p>
    <w:p>
      <w:pPr>
        <w:tabs>
          <w:tab w:val="clear" w:pos="426"/>
        </w:tabs>
      </w:pPr>
      <w:r>
        <w:t xml:space="preserve">14.1 </w:t>
      </w:r>
      <w:r>
        <w:rPr>
          <w:rFonts w:hint="eastAsia"/>
        </w:rPr>
        <w:t>投标供应商与采购代理机构之间与投标有关的所有往来通知、函件和投标文件均用中文表述。投标供应商随投标文件提供的证明文件和资料可以为其它语言，但必须附中文译文。翻译的中文资料与外文资料如果出现差异时，以中文为准，但翻译错误的除外。</w:t>
      </w:r>
    </w:p>
    <w:p>
      <w:pPr>
        <w:tabs>
          <w:tab w:val="clear" w:pos="426"/>
        </w:tabs>
      </w:pPr>
      <w:r>
        <w:t xml:space="preserve">14.2 </w:t>
      </w:r>
      <w:r>
        <w:rPr>
          <w:rFonts w:hint="eastAsia"/>
        </w:rPr>
        <w:t>除技术规范另有规定外，投标文件使用的度量单位，均采用中华人民共和国法定计量单位。</w:t>
      </w:r>
    </w:p>
    <w:p>
      <w:pPr>
        <w:tabs>
          <w:tab w:val="clear" w:pos="426"/>
        </w:tabs>
      </w:pPr>
      <w:r>
        <w:t>15．投标文件的组成</w:t>
      </w:r>
    </w:p>
    <w:p>
      <w:pPr>
        <w:tabs>
          <w:tab w:val="clear" w:pos="426"/>
        </w:tabs>
      </w:pPr>
      <w:r>
        <w:rPr>
          <w:rFonts w:hint="eastAsia"/>
        </w:rPr>
        <w:t>具体内容请详见本项目专用条款的相关内容。</w:t>
      </w:r>
    </w:p>
    <w:p>
      <w:pPr>
        <w:tabs>
          <w:tab w:val="clear" w:pos="426"/>
        </w:tabs>
      </w:pPr>
      <w:r>
        <w:t xml:space="preserve">16. </w:t>
      </w:r>
      <w:r>
        <w:rPr>
          <w:rFonts w:hint="eastAsia"/>
        </w:rPr>
        <w:t>投标文件格式</w:t>
      </w:r>
    </w:p>
    <w:p>
      <w:pPr>
        <w:tabs>
          <w:tab w:val="clear" w:pos="426"/>
        </w:tabs>
      </w:pPr>
      <w:r>
        <w:t>16.1</w:t>
      </w:r>
      <w:r>
        <w:rPr>
          <w:rFonts w:hint="eastAsia"/>
        </w:rPr>
        <w:t>投标文件包括本通用条款第</w:t>
      </w:r>
      <w:r>
        <w:t>15条中规定的内容。如招标文件提供了投标文件格式，则投标供应商提交的投标文件必须毫无例外地使用招标文件所提供的相应格式并统一使用A4篇幅（表格可以按同样格式扩展）。</w:t>
      </w:r>
    </w:p>
    <w:p>
      <w:pPr>
        <w:tabs>
          <w:tab w:val="clear" w:pos="426"/>
        </w:tabs>
      </w:pPr>
      <w:r>
        <w:t>17．投标货币</w:t>
      </w:r>
    </w:p>
    <w:p>
      <w:pPr>
        <w:tabs>
          <w:tab w:val="clear" w:pos="426"/>
        </w:tabs>
      </w:pPr>
      <w:r>
        <w:rPr>
          <w:rFonts w:hint="eastAsia"/>
        </w:rPr>
        <w:t>本项目的投标应以人民币计。</w:t>
      </w:r>
    </w:p>
    <w:p>
      <w:pPr>
        <w:widowControl w:val="0"/>
        <w:shd w:val="clear" w:color="auto" w:fill="auto"/>
        <w:tabs>
          <w:tab w:val="clear" w:pos="426"/>
        </w:tabs>
        <w:autoSpaceDE w:val="0"/>
        <w:autoSpaceDN w:val="0"/>
      </w:pPr>
      <w:r>
        <w:t xml:space="preserve">18. </w:t>
      </w:r>
      <w:r>
        <w:rPr>
          <w:rFonts w:hint="eastAsia"/>
        </w:rPr>
        <w:t>证明投标供应商合格和资格的文件</w:t>
      </w:r>
    </w:p>
    <w:p>
      <w:pPr>
        <w:widowControl w:val="0"/>
        <w:shd w:val="clear" w:color="auto" w:fill="auto"/>
        <w:tabs>
          <w:tab w:val="clear" w:pos="426"/>
        </w:tabs>
        <w:autoSpaceDE w:val="0"/>
        <w:autoSpaceDN w:val="0"/>
        <w:rPr>
          <w:rFonts w:cs="黑体"/>
          <w:b/>
          <w:bCs/>
          <w:szCs w:val="21"/>
        </w:rPr>
      </w:pPr>
      <w:r>
        <w:rPr>
          <w:szCs w:val="21"/>
        </w:rPr>
        <w:t xml:space="preserve">18.1 </w:t>
      </w:r>
      <w:r>
        <w:rPr>
          <w:rFonts w:hint="eastAsia"/>
          <w:szCs w:val="21"/>
          <w:lang w:eastAsia="zh-TW"/>
        </w:rPr>
        <w:t>投标供应商应提交证明其有资格参加投标和中标后有能力履行合同的文件</w:t>
      </w:r>
      <w:r>
        <w:rPr>
          <w:rFonts w:hint="eastAsia"/>
          <w:szCs w:val="21"/>
        </w:rPr>
        <w:t>，</w:t>
      </w:r>
      <w:r>
        <w:rPr>
          <w:rFonts w:hint="eastAsia"/>
          <w:szCs w:val="21"/>
          <w:lang w:eastAsia="zh-TW"/>
        </w:rPr>
        <w:t>并作为其投标文件的一部分。如果投标供应商为联合体</w:t>
      </w:r>
      <w:r>
        <w:rPr>
          <w:rFonts w:hint="eastAsia"/>
          <w:szCs w:val="21"/>
        </w:rPr>
        <w:t>，</w:t>
      </w:r>
      <w:r>
        <w:rPr>
          <w:rFonts w:hint="eastAsia"/>
          <w:szCs w:val="21"/>
          <w:lang w:eastAsia="zh-TW"/>
        </w:rPr>
        <w:t>应提交联合体各方的资格证明文件、</w:t>
      </w:r>
      <w:r>
        <w:rPr>
          <w:rFonts w:hint="eastAsia"/>
          <w:szCs w:val="21"/>
        </w:rPr>
        <w:t>共同投标协议</w:t>
      </w:r>
      <w:r>
        <w:rPr>
          <w:rFonts w:hint="eastAsia"/>
          <w:szCs w:val="21"/>
          <w:lang w:eastAsia="zh-TW"/>
        </w:rPr>
        <w:t>并注明</w:t>
      </w:r>
      <w:r>
        <w:rPr>
          <w:rFonts w:hint="eastAsia"/>
          <w:szCs w:val="21"/>
        </w:rPr>
        <w:t>主体方及各方拟承担的工作和责任。</w:t>
      </w:r>
      <w:r>
        <w:rPr>
          <w:rFonts w:hint="eastAsia"/>
          <w:szCs w:val="21"/>
          <w:lang w:eastAsia="zh-TW"/>
        </w:rPr>
        <w:t>否则</w:t>
      </w:r>
      <w:r>
        <w:rPr>
          <w:rFonts w:hint="eastAsia"/>
          <w:szCs w:val="21"/>
        </w:rPr>
        <w:t>，</w:t>
      </w:r>
      <w:r>
        <w:rPr>
          <w:rFonts w:hint="eastAsia"/>
          <w:szCs w:val="21"/>
          <w:lang w:eastAsia="zh-TW"/>
        </w:rPr>
        <w:t>将导致其投标</w:t>
      </w:r>
      <w:r>
        <w:rPr>
          <w:rFonts w:hint="eastAsia"/>
          <w:szCs w:val="21"/>
        </w:rPr>
        <w:t>无效。</w:t>
      </w:r>
    </w:p>
    <w:p>
      <w:pPr>
        <w:widowControl w:val="0"/>
        <w:shd w:val="clear" w:color="auto" w:fill="auto"/>
        <w:tabs>
          <w:tab w:val="clear" w:pos="426"/>
        </w:tabs>
        <w:autoSpaceDE w:val="0"/>
        <w:autoSpaceDN w:val="0"/>
        <w:rPr>
          <w:szCs w:val="21"/>
          <w:lang w:eastAsia="zh-TW"/>
        </w:rPr>
      </w:pPr>
      <w:r>
        <w:rPr>
          <w:szCs w:val="21"/>
        </w:rPr>
        <w:t xml:space="preserve">18.2 </w:t>
      </w:r>
      <w:r>
        <w:rPr>
          <w:rFonts w:hint="eastAsia"/>
          <w:szCs w:val="21"/>
          <w:lang w:eastAsia="zh-TW"/>
        </w:rPr>
        <w:t>投标供应商提交的资格证明文件应证明其</w:t>
      </w:r>
      <w:r>
        <w:rPr>
          <w:rFonts w:hint="eastAsia"/>
          <w:szCs w:val="21"/>
        </w:rPr>
        <w:t>满足</w:t>
      </w:r>
      <w:r>
        <w:rPr>
          <w:rFonts w:hint="eastAsia"/>
          <w:szCs w:val="21"/>
          <w:lang w:eastAsia="zh-TW"/>
        </w:rPr>
        <w:t>本须知定义的合格投标供应商。</w:t>
      </w:r>
    </w:p>
    <w:p>
      <w:pPr>
        <w:tabs>
          <w:tab w:val="clear" w:pos="426"/>
        </w:tabs>
      </w:pPr>
      <w:r>
        <w:t>19．证明投标文件投标技术方案的合格性和符合招标文件规定的文件要求</w:t>
      </w:r>
    </w:p>
    <w:p>
      <w:pPr>
        <w:tabs>
          <w:tab w:val="clear" w:pos="426"/>
        </w:tabs>
      </w:pPr>
      <w:r>
        <w:t xml:space="preserve">19.1 </w:t>
      </w:r>
      <w:r>
        <w:rPr>
          <w:rFonts w:hint="eastAsia"/>
        </w:rPr>
        <w:t>投标供应商应提交证明文件证明其投标技术方案项下的货物、工程和服务的合格性符合招标文件规定。该投标技术方案及其证明文件作为投标文件的一部分。</w:t>
      </w:r>
    </w:p>
    <w:p>
      <w:pPr>
        <w:tabs>
          <w:tab w:val="clear" w:pos="426"/>
        </w:tabs>
      </w:pPr>
      <w:r>
        <w:t xml:space="preserve">19.2 </w:t>
      </w:r>
      <w:r>
        <w:rPr>
          <w:rFonts w:hint="eastAsia"/>
        </w:rPr>
        <w:t>投标供应商提供证明投标技术方案与招标文件的要求相一致的文件，可以是文字资料、图纸、数据或数码照片、制造商公布的产品说明书、产品彩页和我国政府机构出具的产品检验和核准证件等，以证明投标供应商响应的真实性。它包括并应符合以下要求：</w:t>
      </w:r>
    </w:p>
    <w:p>
      <w:pPr>
        <w:tabs>
          <w:tab w:val="clear" w:pos="426"/>
        </w:tabs>
      </w:pPr>
      <w:r>
        <w:t>19.2.1主要技术指标和性能的详细说明。</w:t>
      </w:r>
    </w:p>
    <w:p>
      <w:pPr>
        <w:tabs>
          <w:tab w:val="clear" w:pos="426"/>
        </w:tabs>
      </w:pPr>
      <w:r>
        <w:t>19.2.2</w:t>
      </w:r>
      <w:r>
        <w:rPr>
          <w:rFonts w:hint="eastAsia"/>
        </w:rPr>
        <w:t>投标产品从采购单位开始使用至招标文件中规定的周期内正常、连续地使用所必须的备件和专用工具清单，包括备件和专用工具的货源及现行价格。</w:t>
      </w:r>
    </w:p>
    <w:p>
      <w:pPr>
        <w:tabs>
          <w:tab w:val="clear" w:pos="426"/>
        </w:tabs>
      </w:pPr>
      <w:r>
        <w:t>19.2.3</w:t>
      </w:r>
      <w:r>
        <w:rPr>
          <w:rFonts w:hint="eastAsia"/>
        </w:rPr>
        <w:t>对照招标文件技术规格，逐条说明投标技术方案已对采购单位的技术规格做出了实质性的响应，或申明与技术规格条文的偏差和例外。投标供应商应详细说明投标技术方案中产品的具体参数，不得照搬照抄招标文件的技术要求。</w:t>
      </w:r>
    </w:p>
    <w:p>
      <w:pPr>
        <w:tabs>
          <w:tab w:val="clear" w:pos="426"/>
        </w:tabs>
      </w:pPr>
      <w: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pPr>
        <w:tabs>
          <w:tab w:val="clear" w:pos="426"/>
        </w:tabs>
      </w:pPr>
      <w:r>
        <w:t>19.2.5我国政府机构出具的产品检验和核准证件应为证件正面、背面和附件标注的全部具体内容；产品检验和核准证件应能清晰的阅读、识别和判断，提供原件复印件。</w:t>
      </w:r>
    </w:p>
    <w:p>
      <w:pPr>
        <w:tabs>
          <w:tab w:val="clear" w:pos="426"/>
        </w:tabs>
      </w:pPr>
      <w:r>
        <w:t>19.3相关资料不符合19.2款要求的，评标委员会有权认定为投标技术方案不合格响应，其相关分数予以扣减或作废标处理。</w:t>
      </w:r>
    </w:p>
    <w:p>
      <w:pPr>
        <w:tabs>
          <w:tab w:val="clear" w:pos="426"/>
        </w:tabs>
      </w:pPr>
      <w:r>
        <w:t>19.4评标委员会有权对以谋取中标为目的的技术规格模糊响应（如有意照搬照抄招标文件的技术要求）或虚假响应予以认定。供应商上述行为一经发现或查实，除扣分或废标外，采购代理机构可视情况报相关监督管理部门做进一步处理。</w:t>
      </w:r>
    </w:p>
    <w:p>
      <w:pPr>
        <w:tabs>
          <w:tab w:val="clear" w:pos="426"/>
        </w:tabs>
      </w:pPr>
      <w:r>
        <w:t>19.5投标供应商在阐述上述第18.2时应注意采购单位在技术规格中指出的工艺、材料和设备的标准以及参照的牌号或分类号仅起说明作用，并没有任何限制性。投标供应商在投标中可以选用替代标准、牌号或分类号，但这些替代要实质上满足招标文件中技术规格的要求，是否满足要求，由评标委员会来评判。</w:t>
      </w:r>
    </w:p>
    <w:p>
      <w:pPr>
        <w:tabs>
          <w:tab w:val="clear" w:pos="426"/>
        </w:tabs>
      </w:pPr>
      <w:r>
        <w:t>19.6为保证公平公正，除非另有规定或说明，投标供应商对同一货物或服务投标时，不得同时提供两套或两套以上的投标方案。</w:t>
      </w:r>
    </w:p>
    <w:p>
      <w:pPr>
        <w:tabs>
          <w:tab w:val="clear" w:pos="426"/>
        </w:tabs>
      </w:pPr>
      <w:r>
        <w:t>20．投标文件其他证明文件的要求</w:t>
      </w:r>
    </w:p>
    <w:p>
      <w:pPr>
        <w:tabs>
          <w:tab w:val="clear" w:pos="426"/>
        </w:tabs>
      </w:pPr>
      <w:r>
        <w:t>20.1对项目招标文件《评标信息》评分项中涉及的相关业绩、社保情况、纳税情况、银行资信等级和资金流状况等内容以及《投标文件初审表》中涉及的资格证书，投标供应商应提供相关部门出具的证明材料原件复印件，原件中标备查。上述证明材料应为证件正面、背面和附件标注的全部具体内容；有关原件复印件应能清晰的阅读、识别和判断。若投标供应商未按要求提供证明材料或提供的是部分证明材料或提供不清晰的，评标委员会有权认定其投标文件未对招标文件有关需求进行响应，涉及资格性检查或符合性检查的予以无效标处理，涉及《评标信息》打分项的则该项评分予以0分处理。</w:t>
      </w:r>
    </w:p>
    <w:p>
      <w:pPr>
        <w:tabs>
          <w:tab w:val="clear" w:pos="426"/>
        </w:tabs>
      </w:pPr>
      <w:r>
        <w:t>20.2本项目涉及提供的有关资质证书，若原有资质证书处于年审期间，投标供应商提供年审证明的可按原资质投标；若投标供应商正在申报上一级别资质，在未获批准之前，仍按原级别资质投标。</w:t>
      </w:r>
    </w:p>
    <w:p>
      <w:pPr>
        <w:tabs>
          <w:tab w:val="clear" w:pos="426"/>
        </w:tabs>
      </w:pPr>
      <w:r>
        <w:t>21．投标有效期</w:t>
      </w:r>
    </w:p>
    <w:p>
      <w:pPr>
        <w:tabs>
          <w:tab w:val="clear" w:pos="426"/>
        </w:tabs>
      </w:pPr>
      <w:r>
        <w:t xml:space="preserve">21.1 </w:t>
      </w:r>
      <w:r>
        <w:rPr>
          <w:rFonts w:hint="eastAsia"/>
        </w:rPr>
        <w:t>投标有效期为从投标截止之日算起的日历天数，具体见专用条款中投标有效期的天数要求。在此期限内，所有投标文件均保持有效；</w:t>
      </w:r>
    </w:p>
    <w:p>
      <w:pPr>
        <w:tabs>
          <w:tab w:val="clear" w:pos="426"/>
        </w:tabs>
      </w:pPr>
      <w:r>
        <w:t xml:space="preserve">21.2 </w:t>
      </w:r>
      <w:r>
        <w:rPr>
          <w:rFonts w:hint="eastAsia"/>
        </w:rPr>
        <w:t>在特殊的情况下，采购代理机构在原定的投标有效期满之前，采购代理机构可以根据需要以书面形式（包括网站公开发布方式）向投标供应商提出延长投标有效期的要求，对此要求投标供应商须以书面形式予以答复，投标供应商可以拒绝采购代理机构此项要求，而不被没收投标保证金，其投标在原投标有效期满后不再有效。同意延长投标有效期的投标供应商不能要求也不允许修改其投标文件，但应当相应的延长投标担保的有效期，在延长的投标有效期内本通用条款第</w:t>
      </w:r>
      <w:r>
        <w:t>22条关于投标保证金的退还与没收的规定仍然适用；</w:t>
      </w:r>
    </w:p>
    <w:p>
      <w:pPr>
        <w:tabs>
          <w:tab w:val="clear" w:pos="426"/>
        </w:tabs>
      </w:pPr>
      <w:r>
        <w:t>21.3 中标单位的投标书有效期，截止于完成本招标文件规定的全部项目内容，并通过竣工验收及保修结束。</w:t>
      </w:r>
    </w:p>
    <w:p>
      <w:pPr>
        <w:tabs>
          <w:tab w:val="clear" w:pos="426"/>
        </w:tabs>
      </w:pPr>
      <w:r>
        <w:t>22．投标保证金</w:t>
      </w:r>
    </w:p>
    <w:p>
      <w:pPr>
        <w:tabs>
          <w:tab w:val="clear" w:pos="426"/>
        </w:tabs>
      </w:pPr>
      <w:r>
        <w:t>22.1投标保证金的缴纳：</w:t>
      </w:r>
      <w:r>
        <w:rPr>
          <w:rFonts w:hint="eastAsia"/>
          <w:b/>
        </w:rPr>
        <w:t>（本项目不适用）</w:t>
      </w:r>
    </w:p>
    <w:p>
      <w:pPr>
        <w:tabs>
          <w:tab w:val="clear" w:pos="426"/>
        </w:tabs>
      </w:pPr>
      <w:r>
        <w:t>22.1.1缴纳投标保证金的方式：参与投标前须缴纳壹万元保证金，落标或中标项目完成后返还，参与投标前未缴纳的，其投标将不予受理。</w:t>
      </w:r>
    </w:p>
    <w:p>
      <w:pPr>
        <w:tabs>
          <w:tab w:val="clear" w:pos="426"/>
        </w:tabs>
      </w:pPr>
      <w:r>
        <w:t xml:space="preserve">22.1.2 </w:t>
      </w:r>
      <w:r>
        <w:rPr>
          <w:rFonts w:hint="eastAsia"/>
        </w:rPr>
        <w:t>若为重大项目，采购代理机构可自行决定另外收取投标保证金，不受</w:t>
      </w:r>
      <w:r>
        <w:t>22.1.1款限制。是否另外收取投标保证金，请见本招标文件专用条款《对通用条款的补充内容》中的相关要求。</w:t>
      </w:r>
    </w:p>
    <w:p>
      <w:pPr>
        <w:tabs>
          <w:tab w:val="clear" w:pos="426"/>
        </w:tabs>
        <w:rPr>
          <w:szCs w:val="21"/>
        </w:rPr>
      </w:pPr>
      <w:r>
        <w:rPr>
          <w:szCs w:val="21"/>
        </w:rPr>
        <w:t>22.2</w:t>
      </w:r>
      <w:r>
        <w:rPr>
          <w:rFonts w:hint="eastAsia"/>
        </w:rPr>
        <w:t>投标保证金是为了保护采购代理机构和采购单位免因投标供应商的行为而蒙受损失。采购代理机构和采购单位因投标供应商的行为受到损害时可根据本通用条款第</w:t>
      </w:r>
      <w:r>
        <w:rPr>
          <w:szCs w:val="21"/>
        </w:rPr>
        <w:t>22.3款</w:t>
      </w:r>
      <w:r>
        <w:rPr>
          <w:rFonts w:hint="eastAsia"/>
        </w:rPr>
        <w:t>的规定没收投标供应商的投标保证金。</w:t>
      </w:r>
    </w:p>
    <w:p>
      <w:pPr>
        <w:tabs>
          <w:tab w:val="clear" w:pos="426"/>
        </w:tabs>
      </w:pPr>
      <w:r>
        <w:t>22.3如下列任何情况发生时，投标保证金将被没收。</w:t>
      </w:r>
    </w:p>
    <w:p>
      <w:pPr>
        <w:tabs>
          <w:tab w:val="clear" w:pos="426"/>
        </w:tabs>
      </w:pPr>
      <w:r>
        <w:t>1）投标供应商在招标文件中规定的投标有效期内撤回其投标；</w:t>
      </w:r>
    </w:p>
    <w:p>
      <w:pPr>
        <w:tabs>
          <w:tab w:val="clear" w:pos="426"/>
        </w:tabs>
      </w:pPr>
      <w:r>
        <w:t>2）中标供应商在规定期限内未能根据本项通用条款第47条规定签订合同；</w:t>
      </w:r>
    </w:p>
    <w:p>
      <w:pPr>
        <w:tabs>
          <w:tab w:val="clear" w:pos="426"/>
        </w:tabs>
      </w:pPr>
      <w:r>
        <w:t>3）投标供应商提供虚假投标文件或虚假补充文件：</w:t>
      </w:r>
    </w:p>
    <w:p>
      <w:pPr>
        <w:tabs>
          <w:tab w:val="clear" w:pos="426"/>
        </w:tabs>
      </w:pPr>
      <w:r>
        <w:t>4）投标供应商以谋取中标为目的的技术规格模糊响应（如有意照搬照抄招标文件的技术要求）或虚假响应的；</w:t>
      </w:r>
    </w:p>
    <w:p>
      <w:pPr>
        <w:tabs>
          <w:tab w:val="clear" w:pos="426"/>
        </w:tabs>
      </w:pPr>
      <w:r>
        <w:t>5）投标供应商质疑投诉提供虚假情况。</w:t>
      </w:r>
    </w:p>
    <w:p>
      <w:pPr>
        <w:tabs>
          <w:tab w:val="clear" w:pos="426"/>
        </w:tabs>
      </w:pPr>
      <w:r>
        <w:t>22.4</w:t>
      </w:r>
      <w:r>
        <w:rPr>
          <w:rFonts w:hint="eastAsia"/>
        </w:rPr>
        <w:t>不再收取</w:t>
      </w:r>
      <w:r>
        <w:t>投标保证金</w:t>
      </w:r>
      <w:r>
        <w:rPr>
          <w:rFonts w:hint="eastAsia"/>
        </w:rPr>
        <w:t>。</w:t>
      </w:r>
    </w:p>
    <w:p>
      <w:pPr>
        <w:tabs>
          <w:tab w:val="clear" w:pos="426"/>
        </w:tabs>
      </w:pPr>
      <w:r>
        <w:t>23．投标供应商的替代方案</w:t>
      </w:r>
    </w:p>
    <w:p>
      <w:pPr>
        <w:tabs>
          <w:tab w:val="clear" w:pos="426"/>
        </w:tabs>
      </w:pPr>
      <w:r>
        <w:t>23.1投标供应商所提交的投标文件应完全满足招标文件（包括图纸和技术规范所示的基本技术设计）的要求。除非招标的项目明确允许投标供应商提交替代方案，否则投标供应商有关替代方案的条款将不予考虑。</w:t>
      </w:r>
    </w:p>
    <w:p>
      <w:pPr>
        <w:tabs>
          <w:tab w:val="clear" w:pos="426"/>
        </w:tabs>
        <w:rPr>
          <w:bCs/>
          <w:sz w:val="30"/>
          <w:szCs w:val="30"/>
        </w:rPr>
      </w:pPr>
      <w:r>
        <w:t xml:space="preserve">23.2 </w:t>
      </w:r>
      <w:r>
        <w:rPr>
          <w:rFonts w:hint="eastAsia"/>
        </w:rPr>
        <w:t>如果允许投标供应商提交替代方案，则准备提交替代方案的投标供应商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pPr>
        <w:tabs>
          <w:tab w:val="clear" w:pos="426"/>
        </w:tabs>
      </w:pPr>
      <w:r>
        <w:t xml:space="preserve">24． </w:t>
      </w:r>
      <w:r>
        <w:rPr>
          <w:rFonts w:hint="eastAsia"/>
        </w:rPr>
        <w:t>投标文件的密封、标记和装订</w:t>
      </w:r>
    </w:p>
    <w:p>
      <w:pPr>
        <w:widowControl w:val="0"/>
        <w:shd w:val="clear" w:color="auto" w:fill="auto"/>
        <w:tabs>
          <w:tab w:val="clear" w:pos="426"/>
        </w:tabs>
        <w:autoSpaceDE w:val="0"/>
        <w:autoSpaceDN w:val="0"/>
        <w:rPr>
          <w:rFonts w:cs="黑体"/>
          <w:bCs/>
          <w:szCs w:val="21"/>
        </w:rPr>
      </w:pPr>
      <w:r>
        <w:t xml:space="preserve">24.1 </w:t>
      </w:r>
      <w:r>
        <w:rPr>
          <w:rFonts w:hint="eastAsia" w:cs="黑体"/>
          <w:bCs/>
          <w:szCs w:val="21"/>
        </w:rPr>
        <w:t>为方便开标唱标，投标供应商应单独提交一个密封信封，并在信封上标明“开标信封”的字样，内容包括开标一览表</w:t>
      </w:r>
      <w:r>
        <w:rPr>
          <w:rFonts w:cs="黑体"/>
          <w:bCs/>
          <w:szCs w:val="21"/>
        </w:rPr>
        <w:t>(报价表)、法定代表人证明书或法定代表人授权委托书、</w:t>
      </w:r>
      <w:r>
        <w:rPr>
          <w:rFonts w:hint="eastAsia"/>
          <w:szCs w:val="21"/>
        </w:rPr>
        <w:t>投标文件电子光盘</w:t>
      </w:r>
      <w:r>
        <w:rPr>
          <w:rFonts w:hint="eastAsia" w:cs="黑体"/>
          <w:bCs/>
          <w:szCs w:val="21"/>
        </w:rPr>
        <w:t>，若本项目（或包组）接受联合体投标，则联合体投标，应将各方共同签署的《联合投标协议》和《投标联合体授权主体方协议书》一并提交。开标信封是投标文件的组成部分。</w:t>
      </w:r>
    </w:p>
    <w:p>
      <w:pPr>
        <w:tabs>
          <w:tab w:val="clear" w:pos="426"/>
        </w:tabs>
        <w:rPr>
          <w:szCs w:val="21"/>
        </w:rPr>
      </w:pPr>
      <w:r>
        <w:t xml:space="preserve">24.2 </w:t>
      </w:r>
      <w:r>
        <w:rPr>
          <w:rFonts w:hint="eastAsia"/>
        </w:rPr>
        <w:t>投标文件为纸质投标文件，</w:t>
      </w:r>
      <w:r>
        <w:rPr>
          <w:rFonts w:hint="eastAsia"/>
          <w:szCs w:val="21"/>
        </w:rPr>
        <w:t>含正本和副本，投标文件应标明项目编号、招标项目名称及“正本”或“副本”。</w:t>
      </w:r>
      <w:r>
        <w:rPr>
          <w:rFonts w:hint="eastAsia"/>
        </w:rPr>
        <w:t>投标文件的所有内容应按</w:t>
      </w:r>
      <w:r>
        <w:t>A4篇幅装订成一册，装订应牢固不可拆卸。装订好的投标文件密封包装在一个外密封袋中，并在外密封袋上注明：</w:t>
      </w:r>
    </w:p>
    <w:p>
      <w:pPr>
        <w:tabs>
          <w:tab w:val="clear" w:pos="426"/>
        </w:tabs>
      </w:pPr>
      <w:r>
        <w:rPr>
          <w:rFonts w:hint="eastAsia"/>
        </w:rPr>
        <w:t>投标文件</w:t>
      </w:r>
    </w:p>
    <w:p>
      <w:pPr>
        <w:tabs>
          <w:tab w:val="clear" w:pos="426"/>
        </w:tabs>
      </w:pPr>
      <w:r>
        <w:rPr>
          <w:rFonts w:hint="eastAsia"/>
        </w:rPr>
        <w:t>项目编号：</w:t>
      </w:r>
    </w:p>
    <w:p>
      <w:pPr>
        <w:tabs>
          <w:tab w:val="clear" w:pos="426"/>
        </w:tabs>
      </w:pPr>
      <w:r>
        <w:rPr>
          <w:rFonts w:hint="eastAsia"/>
        </w:rPr>
        <w:t>项目名称：</w:t>
      </w:r>
    </w:p>
    <w:p>
      <w:pPr>
        <w:tabs>
          <w:tab w:val="clear" w:pos="426"/>
        </w:tabs>
      </w:pPr>
      <w:r>
        <w:rPr>
          <w:rFonts w:hint="eastAsia"/>
        </w:rPr>
        <w:t>投标供应商名称（盖章）：</w:t>
      </w:r>
    </w:p>
    <w:p>
      <w:pPr>
        <w:tabs>
          <w:tab w:val="clear" w:pos="426"/>
        </w:tabs>
      </w:pPr>
      <w:r>
        <w:rPr>
          <w:rFonts w:hint="eastAsia"/>
        </w:rPr>
        <w:t>投标截止时间：</w:t>
      </w:r>
      <w:r>
        <w:rPr>
          <w:u w:val="single"/>
        </w:rPr>
        <w:t>_______年______月______日______时______分（前不得开封）</w:t>
      </w:r>
      <w:r>
        <w:rPr>
          <w:rFonts w:hint="eastAsia"/>
        </w:rPr>
        <w:t>。</w:t>
      </w:r>
    </w:p>
    <w:p>
      <w:pPr>
        <w:tabs>
          <w:tab w:val="clear" w:pos="426"/>
        </w:tabs>
      </w:pPr>
      <w:r>
        <w:t xml:space="preserve">24.3  </w:t>
      </w:r>
      <w:r>
        <w:rPr>
          <w:rFonts w:hint="eastAsia"/>
        </w:rPr>
        <w:t>所有投标文件的密封袋的封口处均应加盖投标供应商公章。</w:t>
      </w:r>
    </w:p>
    <w:p>
      <w:pPr>
        <w:tabs>
          <w:tab w:val="clear" w:pos="426"/>
        </w:tabs>
      </w:pPr>
      <w:r>
        <w:t xml:space="preserve">24.4  </w:t>
      </w:r>
      <w:r>
        <w:rPr>
          <w:rFonts w:hint="eastAsia"/>
        </w:rPr>
        <w:t>对于因标书标识不清、装订不牢、密封不严等导致的不利后果由该投标供应商自负。</w:t>
      </w:r>
    </w:p>
    <w:p>
      <w:pPr>
        <w:tabs>
          <w:tab w:val="clear" w:pos="426"/>
        </w:tabs>
        <w:rPr>
          <w:szCs w:val="21"/>
        </w:rPr>
      </w:pPr>
      <w:r>
        <w:rPr>
          <w:szCs w:val="21"/>
        </w:rPr>
        <w:t xml:space="preserve">24.5  </w:t>
      </w:r>
      <w:r>
        <w:rPr>
          <w:rFonts w:hint="eastAsia"/>
          <w:szCs w:val="21"/>
        </w:rPr>
        <w:t>投标方应将投标文件按</w:t>
      </w:r>
      <w:r>
        <w:rPr>
          <w:szCs w:val="21"/>
        </w:rPr>
        <w:t>24.1-24.2中的规定进行密封和标记后，按专用条款中采购公告注明的地址送至招标机构。</w:t>
      </w:r>
    </w:p>
    <w:p>
      <w:pPr>
        <w:tabs>
          <w:tab w:val="clear" w:pos="426"/>
        </w:tabs>
        <w:rPr>
          <w:szCs w:val="21"/>
        </w:rPr>
      </w:pPr>
      <w:r>
        <w:rPr>
          <w:szCs w:val="21"/>
        </w:rPr>
        <w:t xml:space="preserve">24.6  </w:t>
      </w:r>
      <w:r>
        <w:rPr>
          <w:rFonts w:hint="eastAsia"/>
          <w:szCs w:val="21"/>
        </w:rPr>
        <w:t>邮寄、电报、电话、传真形式的投标概不接受。</w:t>
      </w:r>
    </w:p>
    <w:p>
      <w:pPr>
        <w:tabs>
          <w:tab w:val="clear" w:pos="426"/>
        </w:tabs>
        <w:rPr>
          <w:b/>
          <w:szCs w:val="21"/>
        </w:rPr>
      </w:pPr>
      <w:r>
        <w:rPr>
          <w:b/>
          <w:szCs w:val="21"/>
        </w:rPr>
        <w:t xml:space="preserve">24.7  </w:t>
      </w:r>
      <w:r>
        <w:rPr>
          <w:rFonts w:hint="eastAsia"/>
          <w:b/>
          <w:bCs/>
          <w:szCs w:val="21"/>
        </w:rPr>
        <w:t>投标文件电子版：</w:t>
      </w:r>
      <w:r>
        <w:rPr>
          <w:rFonts w:hint="eastAsia"/>
          <w:b/>
          <w:bCs/>
          <w:szCs w:val="21"/>
          <w:lang w:val="en-US" w:eastAsia="zh-CN"/>
        </w:rPr>
        <w:t>U</w:t>
      </w:r>
      <w:r>
        <w:rPr>
          <w:rFonts w:hint="eastAsia"/>
          <w:b/>
          <w:bCs/>
          <w:szCs w:val="21"/>
        </w:rPr>
        <w:t>盘一张（</w:t>
      </w:r>
      <w:r>
        <w:rPr>
          <w:b/>
          <w:bCs/>
          <w:szCs w:val="21"/>
        </w:rPr>
        <w:t>WORD及投标文件正本盖章后的彩色扫描件，PDF格式），请将该光盘放在开标信封中，并在光盘上标明项目编号、项目名称及投标供应商名称。</w:t>
      </w:r>
    </w:p>
    <w:p>
      <w:pPr>
        <w:tabs>
          <w:tab w:val="clear" w:pos="426"/>
        </w:tabs>
        <w:rPr>
          <w:szCs w:val="21"/>
        </w:rPr>
      </w:pPr>
      <w:r>
        <w:rPr>
          <w:szCs w:val="21"/>
        </w:rPr>
        <w:t xml:space="preserve">25． </w:t>
      </w:r>
      <w:r>
        <w:rPr>
          <w:rFonts w:hint="eastAsia"/>
          <w:szCs w:val="21"/>
        </w:rPr>
        <w:t>投标截止时间</w:t>
      </w:r>
    </w:p>
    <w:p>
      <w:pPr>
        <w:tabs>
          <w:tab w:val="clear" w:pos="426"/>
        </w:tabs>
        <w:rPr>
          <w:szCs w:val="21"/>
        </w:rPr>
      </w:pPr>
      <w:r>
        <w:rPr>
          <w:rFonts w:hint="eastAsia"/>
          <w:szCs w:val="21"/>
        </w:rPr>
        <w:t>招标机构在投标供应商须知第</w:t>
      </w:r>
      <w:r>
        <w:rPr>
          <w:szCs w:val="21"/>
        </w:rPr>
        <w:t>24.5条规定的地址收到投标书的时间不得迟于“投标供应商须知前附表”第19</w:t>
      </w:r>
      <w:r>
        <w:rPr>
          <w:rFonts w:hint="eastAsia"/>
          <w:szCs w:val="21"/>
        </w:rPr>
        <w:t>项所规定的时间。</w:t>
      </w:r>
    </w:p>
    <w:p>
      <w:pPr>
        <w:tabs>
          <w:tab w:val="clear" w:pos="426"/>
        </w:tabs>
        <w:rPr>
          <w:szCs w:val="21"/>
        </w:rPr>
      </w:pPr>
      <w:r>
        <w:rPr>
          <w:szCs w:val="21"/>
        </w:rPr>
        <w:t>26．迟交的投标书</w:t>
      </w:r>
    </w:p>
    <w:p>
      <w:pPr>
        <w:tabs>
          <w:tab w:val="clear" w:pos="426"/>
        </w:tabs>
        <w:rPr>
          <w:szCs w:val="21"/>
        </w:rPr>
      </w:pPr>
      <w:r>
        <w:rPr>
          <w:szCs w:val="21"/>
        </w:rPr>
        <w:t xml:space="preserve">    按照本通用条款第25条规定，招标机构将拒绝并原封退回在其规定的投标截止期后收到的任何投标书。</w:t>
      </w:r>
    </w:p>
    <w:p>
      <w:pPr>
        <w:tabs>
          <w:tab w:val="clear" w:pos="426"/>
        </w:tabs>
      </w:pPr>
      <w:r>
        <w:t xml:space="preserve">27． </w:t>
      </w:r>
      <w:r>
        <w:rPr>
          <w:rFonts w:hint="eastAsia"/>
        </w:rPr>
        <w:t>投标文件的提交和截标时投标文件的数量要求</w:t>
      </w:r>
    </w:p>
    <w:p>
      <w:pPr>
        <w:tabs>
          <w:tab w:val="clear" w:pos="426"/>
        </w:tabs>
      </w:pPr>
      <w:r>
        <w:t xml:space="preserve">27.1  </w:t>
      </w:r>
      <w:r>
        <w:rPr>
          <w:rFonts w:hint="eastAsia"/>
        </w:rPr>
        <w:t>投标截止时间和地点。投标供应商应根据“专用条款”的规定，在投标截止时间前将投标文件密封送达指定地点。未及时送达指定地点及不符合密封、标记、签章、装订要求的投标文件采购代理机构将拒绝接收。</w:t>
      </w:r>
    </w:p>
    <w:p>
      <w:pPr>
        <w:tabs>
          <w:tab w:val="clear" w:pos="426"/>
        </w:tabs>
      </w:pPr>
      <w:r>
        <w:t>27.2  截标时</w:t>
      </w:r>
      <w:r>
        <w:rPr>
          <w:rFonts w:hint="eastAsia"/>
        </w:rPr>
        <w:t>递</w:t>
      </w:r>
      <w:r>
        <w:t>交标书的投标供应商数</w:t>
      </w:r>
      <w:r>
        <w:rPr>
          <w:rFonts w:hint="eastAsia"/>
        </w:rPr>
        <w:t>量未达到法定家数的，采购代理机构将按法律法规的规定暂停</w:t>
      </w:r>
      <w:r>
        <w:t>开标和评标程序</w:t>
      </w:r>
      <w:r>
        <w:rPr>
          <w:rFonts w:hint="eastAsia"/>
        </w:rPr>
        <w:t>。如导致招标失败，采购人或采购代理机构将不负担因此给</w:t>
      </w:r>
      <w:r>
        <w:t>投标供应商</w:t>
      </w:r>
      <w:r>
        <w:rPr>
          <w:rFonts w:hint="eastAsia"/>
        </w:rPr>
        <w:t>造成的损失。</w:t>
      </w:r>
    </w:p>
    <w:p>
      <w:pPr>
        <w:tabs>
          <w:tab w:val="clear" w:pos="426"/>
        </w:tabs>
      </w:pPr>
      <w:r>
        <w:t xml:space="preserve">28．  </w:t>
      </w:r>
      <w:r>
        <w:rPr>
          <w:rFonts w:hint="eastAsia"/>
        </w:rPr>
        <w:t>投标文件的修改或撤回</w:t>
      </w:r>
    </w:p>
    <w:p>
      <w:pPr>
        <w:tabs>
          <w:tab w:val="clear" w:pos="426"/>
        </w:tabs>
      </w:pPr>
      <w:r>
        <w:t xml:space="preserve">28.1  </w:t>
      </w:r>
      <w:r>
        <w:rPr>
          <w:rFonts w:hint="eastAsia"/>
        </w:rPr>
        <w:t>投标供应商已提交投标文件，规定的投标</w:t>
      </w:r>
      <w:r>
        <w:t>截止</w:t>
      </w:r>
      <w:r>
        <w:rPr>
          <w:rFonts w:hint="eastAsia"/>
        </w:rPr>
        <w:t>时间还未到，投标供应商可提出对其投标文件的修改或撤回。投标供应商须提交由投标供应商代表签名的修改或撤回的书面通知。</w:t>
      </w:r>
    </w:p>
    <w:p>
      <w:pPr>
        <w:tabs>
          <w:tab w:val="clear" w:pos="426"/>
        </w:tabs>
      </w:pPr>
      <w:r>
        <w:t xml:space="preserve">28.2  </w:t>
      </w:r>
      <w:r>
        <w:rPr>
          <w:rFonts w:hint="eastAsia"/>
        </w:rPr>
        <w:t>采购代理机构收到由投标供应商代表签名的修改或撤回的书面通知并确认后，投标供应商可对其投标文件进行修改，或是撤回其投标。</w:t>
      </w:r>
    </w:p>
    <w:p>
      <w:pPr>
        <w:tabs>
          <w:tab w:val="clear" w:pos="426"/>
        </w:tabs>
      </w:pPr>
      <w:r>
        <w:t xml:space="preserve">28.3  </w:t>
      </w:r>
      <w:r>
        <w:rPr>
          <w:rFonts w:hint="eastAsia"/>
        </w:rPr>
        <w:t>投标供应商的修改文件应按照本招标文件的规定进行编制、密封、标记和提交，并在密封袋上注明“投标修改”。</w:t>
      </w:r>
    </w:p>
    <w:p>
      <w:pPr>
        <w:tabs>
          <w:tab w:val="clear" w:pos="426"/>
        </w:tabs>
      </w:pPr>
      <w:r>
        <w:t xml:space="preserve">28.4  </w:t>
      </w:r>
      <w:r>
        <w:rPr>
          <w:rFonts w:hint="eastAsia"/>
        </w:rPr>
        <w:t>投标截止时间之后至投标文件有效期终止之前，投标供应商不得要求撤回其投标。在此期间撤回投标的，其投标担保将会被没收。</w:t>
      </w:r>
    </w:p>
    <w:p>
      <w:pPr>
        <w:tabs>
          <w:tab w:val="clear" w:pos="426"/>
        </w:tabs>
      </w:pPr>
      <w:r>
        <w:t xml:space="preserve">28.5  </w:t>
      </w:r>
      <w:r>
        <w:rPr>
          <w:rFonts w:hint="eastAsia"/>
        </w:rPr>
        <w:t>评标结束后，不论中标与否，投标供应商均不得收回投标文件。</w:t>
      </w:r>
    </w:p>
    <w:p>
      <w:pPr>
        <w:pStyle w:val="4"/>
        <w:tabs>
          <w:tab w:val="clear" w:pos="426"/>
        </w:tabs>
      </w:pPr>
      <w:bookmarkStart w:id="210" w:name="_Toc14427257"/>
      <w:bookmarkStart w:id="211" w:name="_Toc530152525"/>
      <w:bookmarkStart w:id="212" w:name="_Toc27835"/>
      <w:bookmarkStart w:id="213" w:name="_Toc529280584"/>
      <w:r>
        <w:rPr>
          <w:rFonts w:hint="eastAsia"/>
        </w:rPr>
        <w:t>第四章</w:t>
      </w:r>
      <w:r>
        <w:t xml:space="preserve"> </w:t>
      </w:r>
      <w:r>
        <w:rPr>
          <w:rFonts w:hint="eastAsia"/>
        </w:rPr>
        <w:t>开标</w:t>
      </w:r>
      <w:bookmarkEnd w:id="210"/>
      <w:bookmarkEnd w:id="211"/>
      <w:bookmarkEnd w:id="212"/>
      <w:bookmarkEnd w:id="213"/>
    </w:p>
    <w:p>
      <w:pPr>
        <w:tabs>
          <w:tab w:val="clear" w:pos="426"/>
        </w:tabs>
      </w:pPr>
      <w:r>
        <w:t>29．　开标</w:t>
      </w:r>
    </w:p>
    <w:p>
      <w:pPr>
        <w:tabs>
          <w:tab w:val="clear" w:pos="426"/>
        </w:tabs>
      </w:pPr>
      <w:r>
        <w:t xml:space="preserve">29.1  </w:t>
      </w:r>
      <w:r>
        <w:rPr>
          <w:rFonts w:hint="eastAsia"/>
        </w:rPr>
        <w:t>采购人在“投标须知前附表”中规定的时间、地点组织公开开标。邀请所有投标供应商代表参加。不参加开标会的投标供应商，视为其认可开标程序和结果。</w:t>
      </w:r>
    </w:p>
    <w:p>
      <w:pPr>
        <w:tabs>
          <w:tab w:val="clear" w:pos="426"/>
        </w:tabs>
      </w:pPr>
      <w:r>
        <w:t xml:space="preserve">29.2  </w:t>
      </w:r>
      <w:r>
        <w:rPr>
          <w:rFonts w:hint="eastAsia"/>
        </w:rPr>
        <w:t>参加开标会议的投标供应商只委派一名代表，且必须是本单位法定代表人或授权代表，参加会议人员须提供相应的授权委托书。</w:t>
      </w:r>
    </w:p>
    <w:p>
      <w:pPr>
        <w:tabs>
          <w:tab w:val="clear" w:pos="426"/>
        </w:tabs>
      </w:pPr>
      <w:r>
        <w:t xml:space="preserve">29.3  </w:t>
      </w:r>
      <w:r>
        <w:rPr>
          <w:rFonts w:hint="eastAsia"/>
        </w:rPr>
        <w:t>开标会由采购代理机构主持，开标程序如下：</w:t>
      </w:r>
    </w:p>
    <w:p>
      <w:pPr>
        <w:tabs>
          <w:tab w:val="clear" w:pos="426"/>
        </w:tabs>
      </w:pPr>
      <w:r>
        <w:t xml:space="preserve">29.3.1  采购代理机构核对法人代表或其授权代表身份证明，若不能提供相应的身份证明或不相符，则不能参与开标会议； </w:t>
      </w:r>
    </w:p>
    <w:p>
      <w:pPr>
        <w:tabs>
          <w:tab w:val="clear" w:pos="426"/>
        </w:tabs>
        <w:rPr>
          <w:szCs w:val="21"/>
        </w:rPr>
      </w:pPr>
      <w:r>
        <w:rPr>
          <w:szCs w:val="21"/>
        </w:rPr>
        <w:t xml:space="preserve">29.3.2  </w:t>
      </w:r>
      <w:r>
        <w:rPr>
          <w:rFonts w:hint="eastAsia"/>
          <w:szCs w:val="21"/>
        </w:rPr>
        <w:t>招标机构将按“采购公告”规定的时间和地点组织公开开标。投标供应商应委派代表参加，参加开标的代表应签名报到以证明出席。</w:t>
      </w:r>
    </w:p>
    <w:p>
      <w:pPr>
        <w:tabs>
          <w:tab w:val="clear" w:pos="426"/>
        </w:tabs>
        <w:rPr>
          <w:szCs w:val="21"/>
        </w:rPr>
      </w:pPr>
      <w:r>
        <w:rPr>
          <w:szCs w:val="21"/>
        </w:rPr>
        <w:t xml:space="preserve">29.3.3  </w:t>
      </w:r>
      <w:r>
        <w:rPr>
          <w:rFonts w:hint="eastAsia"/>
          <w:szCs w:val="21"/>
        </w:rPr>
        <w:t>开标时，招标机构将当众宣读投标供应商名称、修改和撤回投标的通知、开标一览表（以招标文件规定的开标一览表内容为准）。投标文件中开标一览表内容与投标报价明细表内容不一致的，以开标一览表为准。</w:t>
      </w:r>
    </w:p>
    <w:p>
      <w:pPr>
        <w:tabs>
          <w:tab w:val="clear" w:pos="426"/>
        </w:tabs>
        <w:ind w:firstLine="411" w:firstLineChars="196"/>
        <w:rPr>
          <w:szCs w:val="21"/>
        </w:rPr>
      </w:pPr>
      <w:r>
        <w:rPr>
          <w:rFonts w:hint="eastAsia"/>
          <w:szCs w:val="21"/>
        </w:rPr>
        <w:t>除了按照本通用条款第</w:t>
      </w:r>
      <w:r>
        <w:rPr>
          <w:szCs w:val="21"/>
        </w:rPr>
        <w:t>26条规定原封退回的投标之外，开标时将不得拒绝任何投标书。</w:t>
      </w:r>
    </w:p>
    <w:p>
      <w:pPr>
        <w:tabs>
          <w:tab w:val="clear" w:pos="426"/>
        </w:tabs>
        <w:rPr>
          <w:szCs w:val="21"/>
        </w:rPr>
      </w:pPr>
      <w:r>
        <w:rPr>
          <w:szCs w:val="21"/>
        </w:rPr>
        <w:t xml:space="preserve">29.3.4  </w:t>
      </w:r>
      <w:r>
        <w:rPr>
          <w:rFonts w:hint="eastAsia"/>
          <w:szCs w:val="21"/>
        </w:rPr>
        <w:t>开标时，招标机构仅拆封开标信封。如投标供应商未单独密封包装开标信封，招标机构有权拆封投标文件。</w:t>
      </w:r>
    </w:p>
    <w:p>
      <w:pPr>
        <w:tabs>
          <w:tab w:val="clear" w:pos="426"/>
        </w:tabs>
        <w:rPr>
          <w:szCs w:val="21"/>
        </w:rPr>
      </w:pPr>
      <w:r>
        <w:rPr>
          <w:szCs w:val="21"/>
        </w:rPr>
        <w:t xml:space="preserve">29.3.5  </w:t>
      </w:r>
      <w:r>
        <w:rPr>
          <w:rFonts w:hint="eastAsia"/>
          <w:szCs w:val="21"/>
        </w:rPr>
        <w:t>按照投标供应商须知第</w:t>
      </w:r>
      <w:r>
        <w:rPr>
          <w:szCs w:val="21"/>
        </w:rPr>
        <w:t>28条规定，提交了可接受的“撤回”通知的投标将不予开封。</w:t>
      </w:r>
    </w:p>
    <w:p>
      <w:pPr>
        <w:tabs>
          <w:tab w:val="clear" w:pos="426"/>
        </w:tabs>
        <w:rPr>
          <w:szCs w:val="21"/>
        </w:rPr>
      </w:pPr>
      <w:r>
        <w:rPr>
          <w:szCs w:val="21"/>
        </w:rPr>
        <w:t xml:space="preserve">29.3.6  </w:t>
      </w:r>
      <w:r>
        <w:rPr>
          <w:rFonts w:hint="eastAsia"/>
          <w:szCs w:val="21"/>
        </w:rPr>
        <w:t>无论如何在开标时没有启封和读出的投标书在评标时将不予考虑。撤回的投标书将原封退回投标供应商。</w:t>
      </w:r>
    </w:p>
    <w:p>
      <w:pPr>
        <w:tabs>
          <w:tab w:val="clear" w:pos="426"/>
        </w:tabs>
        <w:rPr>
          <w:szCs w:val="21"/>
        </w:rPr>
      </w:pPr>
      <w:r>
        <w:rPr>
          <w:szCs w:val="21"/>
        </w:rPr>
        <w:t xml:space="preserve">29.3.7  </w:t>
      </w:r>
      <w:r>
        <w:rPr>
          <w:rFonts w:hint="eastAsia"/>
          <w:szCs w:val="21"/>
        </w:rPr>
        <w:t>招标机构将做开标记录，开标记录包括按本通用条款第</w:t>
      </w:r>
      <w:r>
        <w:rPr>
          <w:szCs w:val="21"/>
        </w:rPr>
        <w:t>29.3.3的规定在开标时宣读的全部内容。</w:t>
      </w:r>
    </w:p>
    <w:p>
      <w:pPr>
        <w:tabs>
          <w:tab w:val="clear" w:pos="426"/>
        </w:tabs>
      </w:pPr>
      <w:r>
        <w:t xml:space="preserve">29.3.8  </w:t>
      </w:r>
      <w:r>
        <w:rPr>
          <w:rFonts w:hint="eastAsia"/>
        </w:rPr>
        <w:t>供应商在开标过程中知道或者应知其权益受到损害时必须现场明确提出，未明确提出的，即视为认可开标结果。</w:t>
      </w:r>
    </w:p>
    <w:p>
      <w:pPr>
        <w:pStyle w:val="4"/>
        <w:tabs>
          <w:tab w:val="clear" w:pos="426"/>
        </w:tabs>
      </w:pPr>
      <w:bookmarkStart w:id="214" w:name="_Toc529280585"/>
      <w:bookmarkStart w:id="215" w:name="_Toc530152526"/>
      <w:bookmarkStart w:id="216" w:name="_Toc14427258"/>
      <w:bookmarkStart w:id="217" w:name="_Toc27961"/>
      <w:r>
        <w:rPr>
          <w:rFonts w:hint="eastAsia"/>
        </w:rPr>
        <w:t>第五章</w:t>
      </w:r>
      <w:r>
        <w:t xml:space="preserve"> </w:t>
      </w:r>
      <w:r>
        <w:rPr>
          <w:rFonts w:hint="eastAsia"/>
        </w:rPr>
        <w:t>评标要求</w:t>
      </w:r>
      <w:bookmarkEnd w:id="214"/>
      <w:bookmarkEnd w:id="215"/>
      <w:bookmarkEnd w:id="216"/>
      <w:bookmarkEnd w:id="217"/>
    </w:p>
    <w:p>
      <w:pPr>
        <w:tabs>
          <w:tab w:val="clear" w:pos="426"/>
        </w:tabs>
      </w:pPr>
      <w:r>
        <w:t>30．评标委员会组成</w:t>
      </w:r>
    </w:p>
    <w:p>
      <w:pPr>
        <w:tabs>
          <w:tab w:val="clear" w:pos="426"/>
        </w:tabs>
      </w:pPr>
      <w:r>
        <w:t>30.1开标结束后召开评标会议，评标委员会由采购代理机构依法组建，负责评标活动。</w:t>
      </w:r>
    </w:p>
    <w:p>
      <w:pPr>
        <w:tabs>
          <w:tab w:val="clear" w:pos="426"/>
        </w:tabs>
      </w:pPr>
      <w:r>
        <w:rPr>
          <w:rFonts w:hint="eastAsia"/>
        </w:rPr>
        <w:t>评标委员会的组成及行为规范执行《中华人民共和国政府采购法》《中华人民共和国政府采购法实施条例》，评标委员会由采购单位代表和有关技术、经济等方面的专家组成，成员人数为</w:t>
      </w:r>
      <w:r>
        <w:t>5</w:t>
      </w:r>
      <w:r>
        <w:rPr>
          <w:rFonts w:hint="eastAsia"/>
        </w:rPr>
        <w:t>人以上（含</w:t>
      </w:r>
      <w:r>
        <w:t>5</w:t>
      </w:r>
      <w:r>
        <w:rPr>
          <w:rFonts w:hint="eastAsia"/>
        </w:rPr>
        <w:t>人）单数，其中技术、经济等方面的专家不少于成员总数的三分之二。</w:t>
      </w:r>
    </w:p>
    <w:p>
      <w:pPr>
        <w:tabs>
          <w:tab w:val="clear" w:pos="426"/>
        </w:tabs>
      </w:pPr>
      <w:r>
        <w:rPr>
          <w:rFonts w:hint="eastAsia"/>
        </w:rPr>
        <w:t>为保证评委人选的专业性，以及评标中的公平公正性，评标委员会成员从深圳市财政委员会评标专家库中随机抽取。</w:t>
      </w:r>
    </w:p>
    <w:p>
      <w:pPr>
        <w:tabs>
          <w:tab w:val="clear" w:pos="426"/>
        </w:tabs>
      </w:pPr>
      <w:r>
        <w:rPr>
          <w:rFonts w:hint="eastAsia"/>
        </w:rPr>
        <w:t>采购单位代表须持本单位签发的《评标授权书》参加评标。</w:t>
      </w:r>
    </w:p>
    <w:p>
      <w:pPr>
        <w:tabs>
          <w:tab w:val="clear" w:pos="426"/>
        </w:tabs>
      </w:pPr>
      <w:r>
        <w:rPr>
          <w:rFonts w:hint="eastAsia"/>
        </w:rPr>
        <w:t>采购单位无代表参与评标，应在开标前一天提交《采购单位不派评委参与项目评标承诺书》给采购代理机构。</w:t>
      </w:r>
    </w:p>
    <w:p>
      <w:pPr>
        <w:tabs>
          <w:tab w:val="clear" w:pos="426"/>
        </w:tabs>
        <w:rPr>
          <w:sz w:val="24"/>
        </w:rPr>
      </w:pPr>
      <w:r>
        <w:rPr>
          <w:rFonts w:hint="eastAsia"/>
        </w:rPr>
        <w:t>注：《评标授权书》《采购单位不派评委参与项目评标承诺书》模板由采购代理机构提供</w:t>
      </w:r>
      <w:r>
        <w:rPr>
          <w:rFonts w:hint="eastAsia"/>
          <w:sz w:val="24"/>
        </w:rPr>
        <w:t>。</w:t>
      </w:r>
    </w:p>
    <w:p>
      <w:pPr>
        <w:tabs>
          <w:tab w:val="clear" w:pos="426"/>
        </w:tabs>
      </w:pPr>
      <w:r>
        <w:t>30.2评标定标应当遵循公平、公正、科学、择优的原则。</w:t>
      </w:r>
    </w:p>
    <w:p>
      <w:pPr>
        <w:tabs>
          <w:tab w:val="clear" w:pos="426"/>
        </w:tabs>
      </w:pPr>
      <w:r>
        <w:t>30.3评标活动依法进行，任何单位和个人不得非法干预评标过程和结果。</w:t>
      </w:r>
    </w:p>
    <w:p>
      <w:pPr>
        <w:tabs>
          <w:tab w:val="clear" w:pos="426"/>
        </w:tabs>
      </w:pPr>
      <w:r>
        <w:t>30.4评标过程中不允许违背评标程序或采用招标文件未载明的评标方法或评标因素进行评标。</w:t>
      </w:r>
    </w:p>
    <w:p>
      <w:pPr>
        <w:tabs>
          <w:tab w:val="clear" w:pos="426"/>
        </w:tabs>
      </w:pPr>
      <w:r>
        <w:t xml:space="preserve">30.5 </w:t>
      </w:r>
      <w:r>
        <w:rPr>
          <w:rFonts w:hint="eastAsia"/>
        </w:rPr>
        <w:t>开标后，直到授予中标供应商合同为止，凡属于对投标文件的审查、澄清、评价和比较的有关资料以及中标候选人的推荐情况、与评标有关的其他任何情况均严格保密。</w:t>
      </w:r>
    </w:p>
    <w:p>
      <w:pPr>
        <w:tabs>
          <w:tab w:val="clear" w:pos="426"/>
        </w:tabs>
      </w:pPr>
      <w:r>
        <w:t>31．向评标委员会提供的资料</w:t>
      </w:r>
    </w:p>
    <w:p>
      <w:pPr>
        <w:tabs>
          <w:tab w:val="clear" w:pos="426"/>
        </w:tabs>
      </w:pPr>
      <w:r>
        <w:t>31.1公开发布的招标文件，包括图纸、服务清单、答疑文件等；</w:t>
      </w:r>
    </w:p>
    <w:p>
      <w:pPr>
        <w:tabs>
          <w:tab w:val="clear" w:pos="426"/>
        </w:tabs>
      </w:pPr>
      <w:r>
        <w:t>31.2其他评标必须的资料。</w:t>
      </w:r>
    </w:p>
    <w:p>
      <w:pPr>
        <w:tabs>
          <w:tab w:val="clear" w:pos="426"/>
        </w:tabs>
      </w:pPr>
      <w:r>
        <w:t>31.3评标委员会应当认真研究招标文件，至少应了解熟悉以下</w:t>
      </w:r>
      <w:r>
        <w:rPr>
          <w:rFonts w:hint="eastAsia"/>
        </w:rPr>
        <w:t>内容：</w:t>
      </w:r>
    </w:p>
    <w:p>
      <w:pPr>
        <w:tabs>
          <w:tab w:val="clear" w:pos="426"/>
        </w:tabs>
      </w:pPr>
      <w:r>
        <w:rPr>
          <w:rFonts w:hint="eastAsia"/>
        </w:rPr>
        <w:t>（</w:t>
      </w:r>
      <w:r>
        <w:t>1）招标的目的；</w:t>
      </w:r>
    </w:p>
    <w:p>
      <w:pPr>
        <w:tabs>
          <w:tab w:val="clear" w:pos="426"/>
        </w:tabs>
      </w:pPr>
      <w:r>
        <w:rPr>
          <w:rFonts w:hint="eastAsia"/>
        </w:rPr>
        <w:t>（</w:t>
      </w:r>
      <w:r>
        <w:t>2）招标项目需求的范围和性质；</w:t>
      </w:r>
    </w:p>
    <w:p>
      <w:pPr>
        <w:tabs>
          <w:tab w:val="clear" w:pos="426"/>
        </w:tabs>
      </w:pPr>
      <w:r>
        <w:rPr>
          <w:rFonts w:hint="eastAsia"/>
        </w:rPr>
        <w:t>（</w:t>
      </w:r>
      <w:r>
        <w:t>3）招标文件规定的投标供应商的资格、财政预算限额、商务条款；</w:t>
      </w:r>
    </w:p>
    <w:p>
      <w:pPr>
        <w:tabs>
          <w:tab w:val="clear" w:pos="426"/>
        </w:tabs>
      </w:pPr>
      <w:r>
        <w:rPr>
          <w:rFonts w:hint="eastAsia"/>
        </w:rPr>
        <w:t>（</w:t>
      </w:r>
      <w:r>
        <w:t>4）招标文件规定的评标程序、评标方法和评标因素；</w:t>
      </w:r>
    </w:p>
    <w:p>
      <w:pPr>
        <w:tabs>
          <w:tab w:val="clear" w:pos="426"/>
        </w:tabs>
      </w:pPr>
      <w:r>
        <w:rPr>
          <w:rFonts w:hint="eastAsia"/>
        </w:rPr>
        <w:t>（</w:t>
      </w:r>
      <w:r>
        <w:t>5）招标文件所列示的投标文件“资格、符合性评审条款”。</w:t>
      </w:r>
    </w:p>
    <w:p>
      <w:pPr>
        <w:tabs>
          <w:tab w:val="clear" w:pos="426"/>
        </w:tabs>
      </w:pPr>
      <w:r>
        <w:t>32．独立评标</w:t>
      </w:r>
    </w:p>
    <w:p>
      <w:pPr>
        <w:tabs>
          <w:tab w:val="clear" w:pos="426"/>
        </w:tabs>
        <w:rPr>
          <w:szCs w:val="21"/>
        </w:rPr>
      </w:pPr>
      <w:r>
        <w:t>32.1评标委员会成员的评标活动应当独立进行，并应遵循投标文件初审、澄清有关问题、比较与评价、确定中标候选供应商、编写评标报告的工作程序。</w:t>
      </w:r>
    </w:p>
    <w:p>
      <w:pPr>
        <w:pStyle w:val="4"/>
        <w:tabs>
          <w:tab w:val="clear" w:pos="426"/>
        </w:tabs>
      </w:pPr>
      <w:bookmarkStart w:id="218" w:name="_Toc530152527"/>
      <w:bookmarkStart w:id="219" w:name="_Toc529280586"/>
      <w:bookmarkStart w:id="220" w:name="_Toc11085"/>
      <w:bookmarkStart w:id="221" w:name="_Toc14427259"/>
      <w:r>
        <w:rPr>
          <w:rFonts w:hint="eastAsia"/>
        </w:rPr>
        <w:t>第六章</w:t>
      </w:r>
      <w:r>
        <w:t xml:space="preserve"> </w:t>
      </w:r>
      <w:r>
        <w:rPr>
          <w:rFonts w:hint="eastAsia"/>
        </w:rPr>
        <w:t>评标程序及评标方法</w:t>
      </w:r>
      <w:bookmarkEnd w:id="218"/>
      <w:bookmarkEnd w:id="219"/>
      <w:bookmarkEnd w:id="220"/>
      <w:bookmarkEnd w:id="221"/>
    </w:p>
    <w:p>
      <w:pPr>
        <w:tabs>
          <w:tab w:val="clear" w:pos="426"/>
        </w:tabs>
      </w:pPr>
      <w:r>
        <w:t>33．投标文件初审</w:t>
      </w:r>
    </w:p>
    <w:p>
      <w:pPr>
        <w:widowControl w:val="0"/>
        <w:shd w:val="clear" w:color="auto" w:fill="auto"/>
        <w:tabs>
          <w:tab w:val="clear" w:pos="426"/>
        </w:tabs>
        <w:autoSpaceDE w:val="0"/>
        <w:autoSpaceDN w:val="0"/>
        <w:rPr>
          <w:rFonts w:cs="黑体"/>
          <w:b/>
          <w:bCs/>
          <w:szCs w:val="21"/>
        </w:rPr>
      </w:pPr>
      <w:r>
        <w:t xml:space="preserve">33.1 </w:t>
      </w:r>
      <w:r>
        <w:rPr>
          <w:rFonts w:hint="eastAsia"/>
          <w:szCs w:val="21"/>
          <w:lang w:eastAsia="zh-TW"/>
        </w:rPr>
        <w:t>评标委员会将</w:t>
      </w:r>
      <w:r>
        <w:rPr>
          <w:rFonts w:hint="eastAsia"/>
          <w:szCs w:val="21"/>
        </w:rPr>
        <w:t>依法对投标文件进行初审。</w:t>
      </w:r>
      <w:r>
        <w:rPr>
          <w:rFonts w:hint="eastAsia"/>
        </w:rPr>
        <w:t>投标文件初审包括资格性检查和符合性检查，资格性检查：依据法律法规和招标文件的规定，对投标文件中的资格证明、投标保证金等进行审查，以确定投标供应商是否具备投标资格。符合性检查：依据招标文件的规定，从投标文件的有效性、完整性和对招标文件的响应程度进行审查，以确定是否对招标文件的实质性要求作出响应。</w:t>
      </w:r>
    </w:p>
    <w:p>
      <w:pPr>
        <w:tabs>
          <w:tab w:val="clear" w:pos="426"/>
        </w:tabs>
        <w:rPr>
          <w:b/>
        </w:rPr>
      </w:pPr>
      <w:r>
        <w:t xml:space="preserve">33.2 </w:t>
      </w:r>
      <w:r>
        <w:rPr>
          <w:rFonts w:hint="eastAsia"/>
        </w:rPr>
        <w:t>投标文件初审内容请详见“</w:t>
      </w:r>
      <w:r>
        <w:rPr>
          <w:rFonts w:hint="eastAsia"/>
          <w:b/>
        </w:rPr>
        <w:t>资格、符合性评审条款</w:t>
      </w:r>
      <w:r>
        <w:rPr>
          <w:rFonts w:hint="eastAsia"/>
        </w:rPr>
        <w:t>”。投标供应商若有一条审查不通过则按无效标处理。评标委员会对投标单位打√为通过审查，打×为未通过审查。</w:t>
      </w:r>
    </w:p>
    <w:p>
      <w:pPr>
        <w:tabs>
          <w:tab w:val="clear" w:pos="426"/>
        </w:tabs>
      </w:pPr>
      <w:r>
        <w:t xml:space="preserve">33.3 </w:t>
      </w:r>
      <w:r>
        <w:rPr>
          <w:rFonts w:hint="eastAsia"/>
        </w:rPr>
        <w:t>投标文件初审中关于供应商家数的计算。</w:t>
      </w:r>
    </w:p>
    <w:p>
      <w:pPr>
        <w:tabs>
          <w:tab w:val="clear" w:pos="426"/>
        </w:tabs>
      </w:pPr>
      <w:r>
        <w:t xml:space="preserve">33.3.1 </w:t>
      </w:r>
      <w:r>
        <w:rPr>
          <w:rFonts w:hint="eastAsia"/>
        </w:rPr>
        <w:t>采用最低评标价法的采购项目，提供相同品牌产品的不同投标供应商参加同一合同项下投标的，以其中通过资格审查、符合性审查且报价最低的参加评标；报价相同的，由采购人或者采购人委托评标委员会按照招标文件规定的方式确定一个参加评标的投标供应商，招标文件未规定的采取随机抽取方式确定，其他投标无效。</w:t>
      </w:r>
    </w:p>
    <w:p>
      <w:pPr>
        <w:tabs>
          <w:tab w:val="clear" w:pos="426"/>
        </w:tabs>
      </w:pPr>
      <w:r>
        <w:t>33.3.2使用综合评分法的采购项目，提供相同品牌产品且通过资格审查、符合性审查的不同投标供应商参加同一合同项下投标的，按一家投标供应商计算，评审后得分最高的同品牌投标供应商获得中标供应商推荐资格；评审得分相同的，由采购人或者采购人委托评标委员会按照招标文件规定的方式确定一个投标供应商获得中标供应商推荐资格，招标文件未规定的采取随机抽取方式确定，其他同品牌投标供应商不作为中标候选人。</w:t>
      </w:r>
    </w:p>
    <w:p>
      <w:pPr>
        <w:tabs>
          <w:tab w:val="clear" w:pos="426"/>
        </w:tabs>
      </w:pPr>
      <w:r>
        <w:t>33.3.3非单一产品采购项目，采购人应当根据采购项目技术构成、产品价格比重等合理确定核心产品，并在招标文件中载明。多家投标供应商提供的核心产品品牌相同的，按前两款规定处理。</w:t>
      </w:r>
    </w:p>
    <w:p>
      <w:pPr>
        <w:tabs>
          <w:tab w:val="clear" w:pos="426"/>
        </w:tabs>
      </w:pPr>
      <w:r>
        <w:t>33.3.4公开招标以外采购方式以及采购服务和工程涉及采购货物的项目，也按此方法计算供应商家数。</w:t>
      </w:r>
    </w:p>
    <w:p>
      <w:pPr>
        <w:tabs>
          <w:tab w:val="clear" w:pos="426"/>
        </w:tabs>
        <w:rPr>
          <w:b/>
          <w:bCs/>
        </w:rPr>
      </w:pPr>
      <w:r>
        <w:t xml:space="preserve">33.4 </w:t>
      </w:r>
      <w:r>
        <w:rPr>
          <w:rFonts w:hint="eastAsia"/>
        </w:rPr>
        <w:t>对不属于投标文件“</w:t>
      </w:r>
      <w:r>
        <w:rPr>
          <w:rFonts w:hint="eastAsia"/>
          <w:b/>
        </w:rPr>
        <w:t>资格、符合性评审条款</w:t>
      </w:r>
      <w:r>
        <w:rPr>
          <w:rFonts w:hint="eastAsia"/>
        </w:rPr>
        <w:t>”要所列不符合的情形，除法律法规另有规定外，不得作为废标的理由。</w:t>
      </w:r>
    </w:p>
    <w:p>
      <w:pPr>
        <w:tabs>
          <w:tab w:val="clear" w:pos="426"/>
        </w:tabs>
      </w:pPr>
      <w:r>
        <w:t>34．澄清有关问题</w:t>
      </w:r>
    </w:p>
    <w:p>
      <w:pPr>
        <w:tabs>
          <w:tab w:val="clear" w:pos="426"/>
        </w:tabs>
      </w:pPr>
      <w:r>
        <w:rPr>
          <w:rFonts w:hint="eastAsia"/>
        </w:rPr>
        <w:t>为了有助于投标文件的审查、评价和比较，对投标文件含义不明确、同类问题表述不一致或者有明显文字和计算错误的内容，评标委员会可以用书面形式</w:t>
      </w:r>
      <w:r>
        <w:t>(应当由评标委员会签字)要求投标供应商</w:t>
      </w:r>
      <w:r>
        <w:rPr>
          <w:rFonts w:hint="eastAsia"/>
        </w:rPr>
        <w:t>作出必要的澄清、说明或者纠正。投标供应商的澄清、说明或者补正应当用采用书面形式（由其授权的代表签字），并不得超出投标文件的范围或者改变投标文件的实质性的内容。根据本通用条款第</w:t>
      </w:r>
      <w:r>
        <w:t>34条，凡属于评标委员会在评标中发现的算术错误进行核实的修改不在此列。</w:t>
      </w:r>
    </w:p>
    <w:p>
      <w:pPr>
        <w:tabs>
          <w:tab w:val="clear" w:pos="426"/>
        </w:tabs>
      </w:pPr>
      <w:r>
        <w:t>35．错误的修正</w:t>
      </w:r>
    </w:p>
    <w:p>
      <w:pPr>
        <w:tabs>
          <w:tab w:val="clear" w:pos="426"/>
        </w:tabs>
      </w:pPr>
      <w:r>
        <w:t xml:space="preserve">35.1 </w:t>
      </w:r>
      <w:r>
        <w:rPr>
          <w:rFonts w:hint="eastAsia"/>
        </w:rPr>
        <w:t>评标委员会将审查投标文件是否完整、总体编排是否有序、文件签署是否合格、投标供应商是否提交了投标保证金、有无计算上的错误等。</w:t>
      </w:r>
    </w:p>
    <w:p>
      <w:pPr>
        <w:tabs>
          <w:tab w:val="clear" w:pos="426"/>
        </w:tabs>
      </w:pPr>
      <w:r>
        <w:t xml:space="preserve">35.2  </w:t>
      </w:r>
      <w:r>
        <w:rPr>
          <w:rFonts w:hint="eastAsia"/>
        </w:rPr>
        <w:t>算术错误将按以下方法更正（次序排先者优先）：</w:t>
      </w:r>
    </w:p>
    <w:p>
      <w:pPr>
        <w:tabs>
          <w:tab w:val="clear" w:pos="426"/>
        </w:tabs>
      </w:pPr>
      <w:r>
        <w:t>35.2.1投标文件中开标一览表（报价表）内容与投标文件中相应内容不一致的，以开标一览表（报价表）为准；</w:t>
      </w:r>
    </w:p>
    <w:p>
      <w:pPr>
        <w:tabs>
          <w:tab w:val="clear" w:pos="426"/>
        </w:tabs>
      </w:pPr>
      <w:r>
        <w:t>35.2.2大写金额和小写金额不一致的，以大写金额为准；</w:t>
      </w:r>
    </w:p>
    <w:p>
      <w:pPr>
        <w:tabs>
          <w:tab w:val="clear" w:pos="426"/>
        </w:tabs>
      </w:pPr>
      <w:r>
        <w:t>35.2.3单价金额小数点或者百分比有明显错位的，以开标一览表的总价为准，并修改单价；</w:t>
      </w:r>
    </w:p>
    <w:p>
      <w:pPr>
        <w:tabs>
          <w:tab w:val="clear" w:pos="426"/>
        </w:tabs>
      </w:pPr>
      <w:r>
        <w:t>35.2.4总价金额与按单价汇总金额不一致的，以单价金额计算结果为准；</w:t>
      </w:r>
    </w:p>
    <w:p>
      <w:pPr>
        <w:tabs>
          <w:tab w:val="clear" w:pos="426"/>
        </w:tabs>
      </w:pPr>
      <w:r>
        <w:t xml:space="preserve">35.2.5 </w:t>
      </w:r>
      <w:r>
        <w:rPr>
          <w:rFonts w:hint="eastAsia"/>
        </w:rPr>
        <w:t>对不同文字文本投标文件的解释发生异议的，以中文文本为准。</w:t>
      </w:r>
    </w:p>
    <w:p>
      <w:pPr>
        <w:tabs>
          <w:tab w:val="clear" w:pos="426"/>
        </w:tabs>
      </w:pPr>
      <w:r>
        <w:t xml:space="preserve">35.3  </w:t>
      </w:r>
      <w:r>
        <w:rPr>
          <w:rFonts w:hint="eastAsia"/>
        </w:rPr>
        <w:t>对于投标文件中不构成实质性偏差的不正规、不一致或不规则，给评审带来不便，评标委员会可以接受。</w:t>
      </w:r>
    </w:p>
    <w:p>
      <w:pPr>
        <w:tabs>
          <w:tab w:val="clear" w:pos="426"/>
        </w:tabs>
      </w:pPr>
      <w:r>
        <w:t xml:space="preserve">35.4  </w:t>
      </w:r>
      <w:r>
        <w:rPr>
          <w:rFonts w:hint="eastAsia"/>
        </w:rPr>
        <w:t>投标供应商的投标报价是可变动价格的，或包含了价格调整要求的，或投标报价中提供</w:t>
      </w:r>
      <w:r>
        <w:t>两个</w:t>
      </w:r>
      <w:r>
        <w:rPr>
          <w:rFonts w:hint="eastAsia"/>
        </w:rPr>
        <w:t>（含两个）以上的</w:t>
      </w:r>
      <w:r>
        <w:t>报价</w:t>
      </w:r>
      <w:r>
        <w:rPr>
          <w:rFonts w:hint="eastAsia"/>
        </w:rPr>
        <w:t>（</w:t>
      </w:r>
      <w:r>
        <w:t>招标文件规定提交备选投标方案的除外</w:t>
      </w:r>
      <w:r>
        <w:rPr>
          <w:rFonts w:hint="eastAsia"/>
        </w:rPr>
        <w:t>），或严重漏项，评标委员会无法进行判断的，评标委员会可以作无效标处理。</w:t>
      </w:r>
    </w:p>
    <w:p>
      <w:pPr>
        <w:tabs>
          <w:tab w:val="clear" w:pos="426"/>
        </w:tabs>
      </w:pPr>
      <w:r>
        <w:t>35.5根据上述修正错误的原则及方法调整或修正投标文件的投标报价，投标供应商同意后，调整后的投标报价对投标</w:t>
      </w:r>
      <w:r>
        <w:rPr>
          <w:rFonts w:hint="eastAsia"/>
        </w:rPr>
        <w:t>供应商起约束作用。</w:t>
      </w:r>
      <w:r>
        <w:rPr>
          <w:rFonts w:hint="eastAsia"/>
          <w:bCs/>
        </w:rPr>
        <w:t>如果投标供应商不接受修正后的报价，则其投标将被拒绝并且其投标保证金也将被没收，并不影响评标工作。</w:t>
      </w:r>
    </w:p>
    <w:p>
      <w:pPr>
        <w:tabs>
          <w:tab w:val="clear" w:pos="426"/>
        </w:tabs>
      </w:pPr>
      <w:r>
        <w:t>36．投标文件的比较与评价</w:t>
      </w:r>
    </w:p>
    <w:p>
      <w:pPr>
        <w:tabs>
          <w:tab w:val="clear" w:pos="426"/>
        </w:tabs>
      </w:pPr>
      <w:r>
        <w:t>36.1评标委员会将参照相关法律、法规、规定，仅对通过资格性审查和符合性审查的投标文件进行综合比较与评价。</w:t>
      </w:r>
    </w:p>
    <w:p>
      <w:pPr>
        <w:tabs>
          <w:tab w:val="clear" w:pos="426"/>
        </w:tabs>
      </w:pPr>
      <w:r>
        <w:rPr>
          <w:bCs/>
        </w:rPr>
        <w:t xml:space="preserve">36.2  </w:t>
      </w:r>
      <w:r>
        <w:rPr>
          <w:rFonts w:hint="eastAsia"/>
        </w:rPr>
        <w:t>评标委员会应当根据招标文件，审查并逐项列出投标文件的全部投标偏离。投标偏离分为重大偏离和细微偏离。</w:t>
      </w:r>
    </w:p>
    <w:p>
      <w:pPr>
        <w:tabs>
          <w:tab w:val="clear" w:pos="426"/>
        </w:tabs>
      </w:pPr>
      <w:r>
        <w:t xml:space="preserve">36.3 </w:t>
      </w:r>
      <w:r>
        <w:rPr>
          <w:rFonts w:hint="eastAsia"/>
        </w:rPr>
        <w:t>评标委员会应当对投标供应商的投标文件进行分析和比较。</w:t>
      </w:r>
    </w:p>
    <w:p>
      <w:pPr>
        <w:tabs>
          <w:tab w:val="clear" w:pos="426"/>
        </w:tabs>
      </w:pPr>
      <w:r>
        <w:t xml:space="preserve">36.4  </w:t>
      </w:r>
      <w:r>
        <w:rPr>
          <w:rFonts w:hint="eastAsia"/>
        </w:rPr>
        <w:t>评标委员会应当根据招标文件规定，对投标文件中的每项评审内容进行评审。</w:t>
      </w:r>
    </w:p>
    <w:p>
      <w:pPr>
        <w:tabs>
          <w:tab w:val="clear" w:pos="426"/>
        </w:tabs>
        <w:rPr>
          <w:kern w:val="10"/>
        </w:rPr>
      </w:pPr>
      <w:r>
        <w:rPr>
          <w:kern w:val="10"/>
        </w:rPr>
        <w:t xml:space="preserve">36.5  </w:t>
      </w:r>
      <w:r>
        <w:rPr>
          <w:rFonts w:hint="eastAsia"/>
          <w:kern w:val="10"/>
        </w:rPr>
        <w:t>投标文件存在重大偏离的，应作废标处理。下列情况属于重大偏离：</w:t>
      </w:r>
    </w:p>
    <w:p>
      <w:pPr>
        <w:tabs>
          <w:tab w:val="clear" w:pos="426"/>
        </w:tabs>
        <w:rPr>
          <w:kern w:val="10"/>
        </w:rPr>
      </w:pPr>
      <w:r>
        <w:rPr>
          <w:kern w:val="10"/>
        </w:rPr>
        <w:t xml:space="preserve">36.5.1  </w:t>
      </w:r>
      <w:r>
        <w:rPr>
          <w:rFonts w:hint="eastAsia"/>
          <w:kern w:val="10"/>
        </w:rPr>
        <w:t>投标供应商以他人的名义投标或出现下列串通投标、弄虚作假投标嫌疑的：</w:t>
      </w:r>
    </w:p>
    <w:p>
      <w:pPr>
        <w:tabs>
          <w:tab w:val="clear" w:pos="426"/>
        </w:tabs>
        <w:rPr>
          <w:kern w:val="10"/>
        </w:rPr>
      </w:pPr>
      <w:r>
        <w:rPr>
          <w:kern w:val="10"/>
        </w:rPr>
        <w:t>36.5.1.1  不同投标供应商的投标文件内容存在非正常一致</w:t>
      </w:r>
      <w:r>
        <w:rPr>
          <w:rFonts w:hint="eastAsia"/>
          <w:kern w:val="10"/>
        </w:rPr>
        <w:t>的</w:t>
      </w:r>
      <w:r>
        <w:rPr>
          <w:kern w:val="10"/>
        </w:rPr>
        <w:t>；</w:t>
      </w:r>
    </w:p>
    <w:p>
      <w:pPr>
        <w:tabs>
          <w:tab w:val="clear" w:pos="426"/>
        </w:tabs>
        <w:rPr>
          <w:kern w:val="10"/>
        </w:rPr>
      </w:pPr>
      <w:r>
        <w:rPr>
          <w:kern w:val="10"/>
        </w:rPr>
        <w:t>36.5.1.2  不同投标供应商的投标文件错漏之处一致的；</w:t>
      </w:r>
    </w:p>
    <w:p>
      <w:pPr>
        <w:tabs>
          <w:tab w:val="clear" w:pos="426"/>
        </w:tabs>
        <w:rPr>
          <w:kern w:val="10"/>
        </w:rPr>
      </w:pPr>
      <w:r>
        <w:rPr>
          <w:kern w:val="10"/>
        </w:rPr>
        <w:t>36.5.1.3  不同投标供应商的投标报价或者报价组成异常一致或者呈规律性变化的；</w:t>
      </w:r>
    </w:p>
    <w:p>
      <w:pPr>
        <w:tabs>
          <w:tab w:val="clear" w:pos="426"/>
        </w:tabs>
        <w:rPr>
          <w:kern w:val="10"/>
        </w:rPr>
      </w:pPr>
      <w:r>
        <w:rPr>
          <w:kern w:val="10"/>
        </w:rPr>
        <w:t>36.5.1.4  不同投标供应商的投标文件由同一单位或者同一个人编制的；</w:t>
      </w:r>
    </w:p>
    <w:p>
      <w:pPr>
        <w:tabs>
          <w:tab w:val="clear" w:pos="426"/>
        </w:tabs>
        <w:rPr>
          <w:kern w:val="10"/>
        </w:rPr>
      </w:pPr>
      <w:r>
        <w:rPr>
          <w:kern w:val="10"/>
        </w:rPr>
        <w:t>36.5.1.5  不同投标供应商的投标文件载明的</w:t>
      </w:r>
      <w:r>
        <w:rPr>
          <w:rFonts w:hint="eastAsia"/>
          <w:kern w:val="10"/>
        </w:rPr>
        <w:t>项目负责人与主要技术人员</w:t>
      </w:r>
      <w:r>
        <w:rPr>
          <w:kern w:val="10"/>
        </w:rPr>
        <w:t>出现同一人的；</w:t>
      </w:r>
    </w:p>
    <w:p>
      <w:pPr>
        <w:tabs>
          <w:tab w:val="clear" w:pos="426"/>
        </w:tabs>
        <w:rPr>
          <w:kern w:val="10"/>
        </w:rPr>
      </w:pPr>
      <w:r>
        <w:rPr>
          <w:kern w:val="10"/>
        </w:rPr>
        <w:t>36.5.1.6  不同投标供应商的投标文件相互混装的；</w:t>
      </w:r>
    </w:p>
    <w:p>
      <w:pPr>
        <w:tabs>
          <w:tab w:val="clear" w:pos="426"/>
        </w:tabs>
        <w:rPr>
          <w:kern w:val="10"/>
        </w:rPr>
      </w:pPr>
      <w:r>
        <w:rPr>
          <w:kern w:val="10"/>
        </w:rPr>
        <w:t>36.5.1.7  不同投标供应商委托同一人投标的</w:t>
      </w:r>
      <w:r>
        <w:rPr>
          <w:rFonts w:hint="eastAsia"/>
          <w:kern w:val="10"/>
        </w:rPr>
        <w:t>；</w:t>
      </w:r>
    </w:p>
    <w:p>
      <w:pPr>
        <w:tabs>
          <w:tab w:val="clear" w:pos="426"/>
        </w:tabs>
        <w:rPr>
          <w:kern w:val="10"/>
        </w:rPr>
      </w:pPr>
      <w:r>
        <w:rPr>
          <w:kern w:val="10"/>
        </w:rPr>
        <w:t xml:space="preserve">36.5.1.8  </w:t>
      </w:r>
      <w:r>
        <w:rPr>
          <w:rFonts w:hint="eastAsia"/>
          <w:kern w:val="10"/>
        </w:rPr>
        <w:t>不同投标供应商聘请同一人为其投标提供技术或者经济咨询服务的，但招标工程本身要求采用专有技术的除外；</w:t>
      </w:r>
    </w:p>
    <w:p>
      <w:pPr>
        <w:tabs>
          <w:tab w:val="clear" w:pos="426"/>
        </w:tabs>
        <w:rPr>
          <w:kern w:val="10"/>
        </w:rPr>
      </w:pPr>
      <w:r>
        <w:rPr>
          <w:kern w:val="10"/>
        </w:rPr>
        <w:t>36.5.1.9  评标委员会认定的其他串通投标情形。</w:t>
      </w:r>
    </w:p>
    <w:p>
      <w:pPr>
        <w:tabs>
          <w:tab w:val="clear" w:pos="426"/>
        </w:tabs>
      </w:pPr>
      <w:r>
        <w:rPr>
          <w:kern w:val="10"/>
        </w:rPr>
        <w:t xml:space="preserve">36.5.2 </w:t>
      </w:r>
      <w:r>
        <w:t xml:space="preserve"> 投标文件不满足招标文件规定的任何一项实质性要求的；</w:t>
      </w:r>
    </w:p>
    <w:p>
      <w:pPr>
        <w:tabs>
          <w:tab w:val="clear" w:pos="426"/>
        </w:tabs>
      </w:pPr>
      <w:r>
        <w:rPr>
          <w:bCs/>
          <w:kern w:val="10"/>
        </w:rPr>
        <w:t xml:space="preserve">36.5.3 </w:t>
      </w:r>
      <w:r>
        <w:t xml:space="preserve"> 投标文件对招标文件规定的非实质性要求的偏离，超出允许偏离的最大范围或最高项数的；</w:t>
      </w:r>
    </w:p>
    <w:p>
      <w:pPr>
        <w:tabs>
          <w:tab w:val="clear" w:pos="426"/>
        </w:tabs>
      </w:pPr>
      <w:r>
        <w:rPr>
          <w:kern w:val="10"/>
        </w:rPr>
        <w:t xml:space="preserve">36.5.4 </w:t>
      </w:r>
      <w:r>
        <w:t xml:space="preserve"> 评标委员会根据招标文件的规定对投标文件的投标价格进行调整，投标供应商不接受调整方式的，或不接受调整后的价格的；</w:t>
      </w:r>
    </w:p>
    <w:p>
      <w:pPr>
        <w:tabs>
          <w:tab w:val="clear" w:pos="426"/>
        </w:tabs>
        <w:rPr>
          <w:kern w:val="10"/>
        </w:rPr>
      </w:pPr>
      <w:r>
        <w:rPr>
          <w:kern w:val="10"/>
        </w:rPr>
        <w:t xml:space="preserve">36.6  </w:t>
      </w:r>
      <w:r>
        <w:rPr>
          <w:rFonts w:hint="eastAsia"/>
          <w:kern w:val="10"/>
        </w:rPr>
        <w:t>细微偏离是指投标文件在实质上响应招标文件要求，但在个别地方存在漏项或者提供了不完整的技术信息和数据等情况，并且补正这些漏项或者不完整不会对其他投标供应商造成不公平的结果。细微偏离不影响投标文件的有效性。</w:t>
      </w:r>
    </w:p>
    <w:p>
      <w:pPr>
        <w:tabs>
          <w:tab w:val="clear" w:pos="426"/>
        </w:tabs>
        <w:rPr>
          <w:kern w:val="10"/>
        </w:rPr>
      </w:pPr>
      <w:r>
        <w:rPr>
          <w:kern w:val="10"/>
        </w:rPr>
        <w:t xml:space="preserve">36.7 </w:t>
      </w:r>
      <w:r>
        <w:rPr>
          <w:rFonts w:hint="eastAsia"/>
          <w:kern w:val="10"/>
        </w:rPr>
        <w:t>评标委员会应书面要求存在细微偏离的投标供应商在评标结束前予以补正。拒不补正的，在详细评审时可以对细微偏离按照不利于该投标供应商的原则进行调整，且投标供应商不得因此提出任何异议。</w:t>
      </w:r>
    </w:p>
    <w:p>
      <w:pPr>
        <w:tabs>
          <w:tab w:val="clear" w:pos="426"/>
        </w:tabs>
      </w:pPr>
      <w:r>
        <w:t>37.实地考察、演示或设备测试</w:t>
      </w:r>
    </w:p>
    <w:p>
      <w:pPr>
        <w:tabs>
          <w:tab w:val="clear" w:pos="426"/>
        </w:tabs>
      </w:pPr>
      <w:r>
        <w:t>37.1在招标过程中，评标委员会有权决定是否对本项目投标供应商进行现场勘察或实地考察或检验有关证明材料的原件。投标供应商应随时做好接受检查的准备。</w:t>
      </w:r>
    </w:p>
    <w:p>
      <w:pPr>
        <w:tabs>
          <w:tab w:val="clear" w:pos="426"/>
        </w:tabs>
      </w:pPr>
      <w:r>
        <w:t>37.2若招标文件要求进行现场演示或设备测试的，投标供应商应做好相应准备。</w:t>
      </w:r>
    </w:p>
    <w:p>
      <w:pPr>
        <w:tabs>
          <w:tab w:val="clear" w:pos="426"/>
        </w:tabs>
      </w:pPr>
      <w:r>
        <w:t>38．评标方法</w:t>
      </w:r>
    </w:p>
    <w:p>
      <w:pPr>
        <w:tabs>
          <w:tab w:val="clear" w:pos="426"/>
        </w:tabs>
        <w:rPr>
          <w:szCs w:val="21"/>
        </w:rPr>
      </w:pPr>
      <w:r>
        <w:rPr>
          <w:szCs w:val="21"/>
        </w:rPr>
        <w:t>38.1</w:t>
      </w:r>
      <w:r>
        <w:rPr>
          <w:rFonts w:hint="eastAsia"/>
        </w:rPr>
        <w:t>根据有关要求，</w:t>
      </w:r>
      <w:r>
        <w:rPr>
          <w:rFonts w:hint="eastAsia"/>
          <w:szCs w:val="21"/>
        </w:rPr>
        <w:t>项目评标方法根据是否是评定分离项目进行选择。</w:t>
      </w:r>
    </w:p>
    <w:p>
      <w:pPr>
        <w:tabs>
          <w:tab w:val="clear" w:pos="426"/>
        </w:tabs>
      </w:pPr>
      <w:r>
        <w:t>38.2非评定分离项目</w:t>
      </w:r>
    </w:p>
    <w:p>
      <w:pPr>
        <w:tabs>
          <w:tab w:val="clear" w:pos="426"/>
        </w:tabs>
      </w:pPr>
      <w:r>
        <w:rPr>
          <w:rFonts w:hint="eastAsia"/>
        </w:rPr>
        <w:t>非评定分离项目评分方法为最低评标价法、综合评标法、性价比法及法律、法规允许的其它评标办法。</w:t>
      </w:r>
    </w:p>
    <w:p>
      <w:pPr>
        <w:tabs>
          <w:tab w:val="clear" w:pos="426"/>
        </w:tabs>
        <w:rPr>
          <w:b/>
        </w:rPr>
      </w:pPr>
      <w:r>
        <w:t>38.2.1最低评标价法</w:t>
      </w:r>
    </w:p>
    <w:p>
      <w:pPr>
        <w:tabs>
          <w:tab w:val="clear" w:pos="426"/>
        </w:tabs>
      </w:pPr>
      <w:r>
        <w:rPr>
          <w:rFonts w:hint="eastAsia"/>
        </w:rPr>
        <w:t>最低价法是指以价格因素确定中标候选供应商的评标方法，即在满足招标文件实质性要求前提下，以报价最低的投标供应商作为中标候选供应商或中标供应商的评标方法；</w:t>
      </w:r>
    </w:p>
    <w:p>
      <w:pPr>
        <w:tabs>
          <w:tab w:val="clear" w:pos="426"/>
        </w:tabs>
        <w:rPr>
          <w:b/>
        </w:rPr>
      </w:pPr>
      <w:r>
        <w:t>38.2.2综合评分法</w:t>
      </w:r>
    </w:p>
    <w:p>
      <w:pPr>
        <w:tabs>
          <w:tab w:val="clear" w:pos="426"/>
        </w:tabs>
      </w:pPr>
      <w:r>
        <w:rPr>
          <w:rFonts w:hint="eastAsia"/>
        </w:rPr>
        <w:t>综合评分法是指在最大限度地满足招标文件实质性要求前提下，按照招标文件中规定的各项因素进行量化打分，每个投标供应商的总得分确定，以评标总得分最高的投标供应商作为中标候选供应商或中标供应商的评标方法。</w:t>
      </w:r>
    </w:p>
    <w:p>
      <w:pPr>
        <w:tabs>
          <w:tab w:val="clear" w:pos="426"/>
        </w:tabs>
        <w:rPr>
          <w:b/>
          <w:bCs/>
        </w:rPr>
      </w:pPr>
      <w:r>
        <w:t>38.2.3</w:t>
      </w:r>
      <w:r>
        <w:rPr>
          <w:rFonts w:hint="eastAsia"/>
          <w:bCs/>
        </w:rPr>
        <w:t>性价比法</w:t>
      </w:r>
    </w:p>
    <w:p>
      <w:pPr>
        <w:tabs>
          <w:tab w:val="clear" w:pos="426"/>
        </w:tabs>
      </w:pPr>
      <w:r>
        <w:rPr>
          <w:rFonts w:hint="eastAsia"/>
        </w:rPr>
        <w:t>性价比法是指除价格因素外，经对投标文件进行评审，计算出评分因素的总分，除以投标报价，以商数最高的投标供应商作为中标候选供应商或中标供应商的评标方法。</w:t>
      </w:r>
    </w:p>
    <w:p>
      <w:pPr>
        <w:tabs>
          <w:tab w:val="clear" w:pos="426"/>
        </w:tabs>
      </w:pPr>
      <w:r>
        <w:t>38.3评定分离项目</w:t>
      </w:r>
    </w:p>
    <w:p>
      <w:pPr>
        <w:tabs>
          <w:tab w:val="clear" w:pos="426"/>
        </w:tabs>
      </w:pPr>
      <w:r>
        <w:rPr>
          <w:rFonts w:hint="eastAsia"/>
        </w:rPr>
        <w:t>评定分离项目，评审委员会应当按照综合评分法、定性评审法、最低价法或者法律、法规及规章规定的其他评审方法对投标文件进行评审。</w:t>
      </w:r>
    </w:p>
    <w:p>
      <w:pPr>
        <w:tabs>
          <w:tab w:val="clear" w:pos="426"/>
        </w:tabs>
        <w:rPr>
          <w:b/>
        </w:rPr>
      </w:pPr>
      <w:r>
        <w:t>38.3.1综合评分法</w:t>
      </w:r>
    </w:p>
    <w:p>
      <w:pPr>
        <w:tabs>
          <w:tab w:val="clear" w:pos="426"/>
        </w:tabs>
      </w:pPr>
      <w:r>
        <w:rPr>
          <w:rFonts w:hint="eastAsia"/>
        </w:rPr>
        <w:t>综合评分法是指在最大限度满足招标文件实质性要求的前提下，按照招标文件中规定的各项因素进行综合评审，评审总得分排名前列的投标供应商，作为推荐的候选中标供应商。</w:t>
      </w:r>
    </w:p>
    <w:p>
      <w:pPr>
        <w:tabs>
          <w:tab w:val="clear" w:pos="426"/>
        </w:tabs>
        <w:rPr>
          <w:sz w:val="18"/>
          <w:szCs w:val="18"/>
          <w:shd w:val="clear" w:color="auto" w:fill="FFFFFF"/>
        </w:rPr>
      </w:pPr>
      <w:r>
        <w:t>38.3.2</w:t>
      </w:r>
      <w:r>
        <w:rPr>
          <w:rFonts w:hint="eastAsia"/>
          <w:bCs/>
        </w:rPr>
        <w:t>定性评审法</w:t>
      </w:r>
    </w:p>
    <w:p>
      <w:pPr>
        <w:tabs>
          <w:tab w:val="clear" w:pos="426"/>
        </w:tabs>
      </w:pPr>
      <w:r>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供应商，均推荐为候选中标供应商。</w:t>
      </w:r>
    </w:p>
    <w:p>
      <w:pPr>
        <w:tabs>
          <w:tab w:val="clear" w:pos="426"/>
        </w:tabs>
      </w:pPr>
      <w:r>
        <w:t>38.3.3最低价法</w:t>
      </w:r>
    </w:p>
    <w:p>
      <w:pPr>
        <w:tabs>
          <w:tab w:val="clear" w:pos="426"/>
        </w:tabs>
      </w:pPr>
      <w:r>
        <w:rPr>
          <w:rFonts w:hint="eastAsia"/>
        </w:rPr>
        <w:t>最低价法是指以价格为主要因素确定候选中标供应商的评审方法。</w:t>
      </w:r>
    </w:p>
    <w:p>
      <w:pPr>
        <w:tabs>
          <w:tab w:val="clear" w:pos="426"/>
        </w:tabs>
      </w:pPr>
      <w:r>
        <w:t>38.4本项目采用的评标方法见本项目招标文件专用条款的相关内容。</w:t>
      </w:r>
    </w:p>
    <w:p>
      <w:pPr>
        <w:pStyle w:val="4"/>
        <w:tabs>
          <w:tab w:val="clear" w:pos="426"/>
        </w:tabs>
      </w:pPr>
      <w:bookmarkStart w:id="222" w:name="_Toc14427260"/>
      <w:bookmarkStart w:id="223" w:name="_Toc529280587"/>
      <w:bookmarkStart w:id="224" w:name="_Toc530152528"/>
      <w:bookmarkStart w:id="225" w:name="_Toc9177"/>
      <w:r>
        <w:rPr>
          <w:rFonts w:hint="eastAsia"/>
        </w:rPr>
        <w:t>第七章</w:t>
      </w:r>
      <w:r>
        <w:t xml:space="preserve"> </w:t>
      </w:r>
      <w:r>
        <w:rPr>
          <w:rFonts w:hint="eastAsia"/>
        </w:rPr>
        <w:t>定标及公示</w:t>
      </w:r>
      <w:bookmarkEnd w:id="222"/>
      <w:bookmarkEnd w:id="223"/>
      <w:bookmarkEnd w:id="224"/>
      <w:bookmarkEnd w:id="225"/>
    </w:p>
    <w:p>
      <w:pPr>
        <w:tabs>
          <w:tab w:val="clear" w:pos="426"/>
        </w:tabs>
      </w:pPr>
      <w:r>
        <w:t>39．定标方法</w:t>
      </w:r>
    </w:p>
    <w:p>
      <w:pPr>
        <w:tabs>
          <w:tab w:val="clear" w:pos="426"/>
        </w:tabs>
      </w:pPr>
      <w:r>
        <w:t>39.1项目定标方法根据是否是评定分离项目进行选择。</w:t>
      </w:r>
    </w:p>
    <w:p>
      <w:pPr>
        <w:tabs>
          <w:tab w:val="clear" w:pos="426"/>
        </w:tabs>
      </w:pPr>
      <w:r>
        <w:t>39.2非评定分离项目</w:t>
      </w:r>
    </w:p>
    <w:p>
      <w:pPr>
        <w:tabs>
          <w:tab w:val="clear" w:pos="426"/>
        </w:tabs>
      </w:pPr>
      <w:r>
        <w:rPr>
          <w:rFonts w:hint="eastAsia"/>
        </w:rPr>
        <w:t>评标委员会依据本项目招标文件所约定的评标方法进行评审和比较，向采购代理机构提交书面评标报告，并根据评标方法比较评价结果从优到劣进行排序，并推荐中标候选人或确定中标供应商；</w:t>
      </w:r>
    </w:p>
    <w:p>
      <w:pPr>
        <w:tabs>
          <w:tab w:val="clear" w:pos="426"/>
        </w:tabs>
      </w:pPr>
      <w:r>
        <w:t>39.2.1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补，以此类推。对是否满足实质性要求或报价是否合理或是否低于成本，评委会意见不一致时，按少数服从多数原则</w:t>
      </w:r>
      <w:r>
        <w:rPr>
          <w:rFonts w:hint="eastAsia"/>
        </w:rPr>
        <w:t>作出决定。</w:t>
      </w:r>
    </w:p>
    <w:p>
      <w:pPr>
        <w:tabs>
          <w:tab w:val="clear" w:pos="426"/>
        </w:tabs>
      </w:pPr>
      <w:r>
        <w:t>39.2.2采用综合评</w:t>
      </w:r>
      <w:r>
        <w:rPr>
          <w:rFonts w:hint="eastAsia"/>
        </w:rPr>
        <w:t>分</w:t>
      </w:r>
      <w:r>
        <w:t>法的，按评审后得分由高到低顺序排列。得分相同的，按投标报价由低到高顺序排列。得分且投标报价相同的，按技术指标优劣顺序排列。</w:t>
      </w:r>
    </w:p>
    <w:p>
      <w:pPr>
        <w:tabs>
          <w:tab w:val="clear" w:pos="426"/>
        </w:tabs>
      </w:pPr>
      <w:r>
        <w:t>39.2.3采用</w:t>
      </w:r>
      <w:r>
        <w:rPr>
          <w:rFonts w:hint="eastAsia"/>
        </w:rPr>
        <w:t>性价比</w:t>
      </w:r>
      <w:r>
        <w:t>法的</w:t>
      </w:r>
      <w:r>
        <w:rPr>
          <w:rFonts w:hint="eastAsia"/>
        </w:rPr>
        <w:t>，按商数得分由高到低顺序排列。商数得分相同的，按投标报价由低到高顺序排列。商数得分且投标报价相同的，按技术指标优劣顺序排列。</w:t>
      </w:r>
    </w:p>
    <w:p>
      <w:pPr>
        <w:tabs>
          <w:tab w:val="clear" w:pos="426"/>
        </w:tabs>
      </w:pPr>
      <w:r>
        <w:t>39.3评定分离项目</w:t>
      </w:r>
    </w:p>
    <w:p>
      <w:pPr>
        <w:tabs>
          <w:tab w:val="clear" w:pos="426"/>
        </w:tabs>
      </w:pPr>
      <w:r>
        <w:rPr>
          <w:rFonts w:hint="eastAsia"/>
        </w:rPr>
        <w:t>适用评定分离的采购项目，采购人应当根据不同的项目选用自定法、抽签法、竞价法或者法律、法规及规章规定的其他定标方法确定中标供应商。</w:t>
      </w:r>
    </w:p>
    <w:p>
      <w:pPr>
        <w:tabs>
          <w:tab w:val="clear" w:pos="426"/>
        </w:tabs>
      </w:pPr>
      <w:r>
        <w:t>39.3.1自定法是指采购人组织定标委员会，由定标委员会在候选中标供应商中确定中标供应商。</w:t>
      </w:r>
    </w:p>
    <w:p>
      <w:pPr>
        <w:tabs>
          <w:tab w:val="clear" w:pos="426"/>
        </w:tabs>
      </w:pPr>
      <w:r>
        <w:t>39.3.2 抽签法是指候选中标供应</w:t>
      </w:r>
      <w:r>
        <w:rPr>
          <w:rFonts w:hint="eastAsia"/>
        </w:rPr>
        <w:t>商产生后，由采购人委托招标机构按照随机抽签的方式在候选中标供应商中确定中标供应商。 </w:t>
      </w:r>
    </w:p>
    <w:p>
      <w:pPr>
        <w:tabs>
          <w:tab w:val="clear" w:pos="426"/>
        </w:tabs>
      </w:pPr>
      <w:r>
        <w:t>39.3.3竞价法是指候选中标供应</w:t>
      </w:r>
      <w:r>
        <w:rPr>
          <w:rFonts w:hint="eastAsia"/>
        </w:rPr>
        <w:t>商产生后，由采购人委托招标机构组织候选中标供应商进行二次竞价，最终报价最低的为中标供应商</w:t>
      </w:r>
    </w:p>
    <w:p>
      <w:pPr>
        <w:tabs>
          <w:tab w:val="clear" w:pos="426"/>
        </w:tabs>
      </w:pPr>
      <w:r>
        <w:t>39.4本项目采用的定标方法见本项目招标文件专用条款的相关内容。</w:t>
      </w:r>
    </w:p>
    <w:p>
      <w:pPr>
        <w:tabs>
          <w:tab w:val="clear" w:pos="426"/>
        </w:tabs>
      </w:pPr>
      <w:r>
        <w:t>40．编写评标报告</w:t>
      </w:r>
    </w:p>
    <w:p>
      <w:pPr>
        <w:tabs>
          <w:tab w:val="clear" w:pos="426"/>
        </w:tabs>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tabs>
          <w:tab w:val="clear" w:pos="426"/>
        </w:tabs>
      </w:pPr>
      <w:r>
        <w:t>41．中标公告</w:t>
      </w:r>
    </w:p>
    <w:p>
      <w:pPr>
        <w:tabs>
          <w:tab w:val="clear" w:pos="426"/>
        </w:tabs>
      </w:pPr>
      <w:r>
        <w:t>41.1为体现“公开、公平、公正”的原则，评标结束后，将在</w:t>
      </w:r>
      <w:r>
        <w:rPr>
          <w:rFonts w:hint="eastAsia"/>
        </w:rPr>
        <w:t>中国政府采购网（</w:t>
      </w:r>
      <w:r>
        <w:t>http://www.ccgp.gov.cn）</w:t>
      </w:r>
      <w:r>
        <w:rPr>
          <w:rFonts w:hint="eastAsia"/>
        </w:rPr>
        <w:t>、深圳市深水水务咨询有限公司官网（</w:t>
      </w:r>
      <w:r>
        <w:t>http://www.szsszx.com/）</w:t>
      </w:r>
      <w:r>
        <w:rPr>
          <w:rFonts w:hint="eastAsia"/>
        </w:rPr>
        <w:t>上发布中标结果公告，公示期为</w:t>
      </w:r>
      <w:r>
        <w:t>1个工作日。供应商如对评标结果有异议，请于公示期内，以书面的形式向我公司反映。若在公示期内未提出异议，则视为认同该评标结果。</w:t>
      </w:r>
    </w:p>
    <w:p>
      <w:pPr>
        <w:tabs>
          <w:tab w:val="clear" w:pos="426"/>
        </w:tabs>
      </w:pPr>
      <w:r>
        <w:t>41.2质疑投诉人应保证质疑投诉内容的真实性和可靠性，并承担相应的法律责任。</w:t>
      </w:r>
    </w:p>
    <w:p>
      <w:pPr>
        <w:tabs>
          <w:tab w:val="clear" w:pos="426"/>
        </w:tabs>
      </w:pPr>
      <w:r>
        <w:t>42．中标通知书</w:t>
      </w:r>
    </w:p>
    <w:p>
      <w:pPr>
        <w:tabs>
          <w:tab w:val="clear" w:pos="426"/>
        </w:tabs>
      </w:pPr>
      <w:r>
        <w:t>42.1中标公告公布后,公示期内无人投诉,请中标供应商凭单位证明及本人身份证到采购代理机构领取《中标通知书》。</w:t>
      </w:r>
    </w:p>
    <w:p>
      <w:pPr>
        <w:tabs>
          <w:tab w:val="clear" w:pos="426"/>
        </w:tabs>
      </w:pPr>
      <w:r>
        <w:t>42.2</w:t>
      </w:r>
      <w:r>
        <w:rPr>
          <w:rFonts w:hint="eastAsia"/>
        </w:rPr>
        <w:t>中标通知书是合同的重要组成部分。</w:t>
      </w:r>
    </w:p>
    <w:p>
      <w:pPr>
        <w:tabs>
          <w:tab w:val="clear" w:pos="426"/>
        </w:tabs>
      </w:pPr>
      <w:r>
        <w:t>42.3因质疑投诉或其它原因导致项目结果变更或采购终止的，我公司有权收回中标通知书或终止采购合同。</w:t>
      </w:r>
    </w:p>
    <w:p>
      <w:pPr>
        <w:pStyle w:val="4"/>
        <w:tabs>
          <w:tab w:val="clear" w:pos="426"/>
        </w:tabs>
      </w:pPr>
      <w:bookmarkStart w:id="226" w:name="_Toc529280588"/>
      <w:bookmarkStart w:id="227" w:name="_Toc530152529"/>
      <w:bookmarkStart w:id="228" w:name="_Toc14427261"/>
      <w:bookmarkStart w:id="229" w:name="_Toc3472"/>
      <w:r>
        <w:rPr>
          <w:rFonts w:hint="eastAsia"/>
        </w:rPr>
        <w:t>第八章</w:t>
      </w:r>
      <w:r>
        <w:t xml:space="preserve"> </w:t>
      </w:r>
      <w:r>
        <w:rPr>
          <w:rFonts w:hint="eastAsia"/>
        </w:rPr>
        <w:t>公开招标失败的后续处理</w:t>
      </w:r>
      <w:bookmarkEnd w:id="226"/>
      <w:bookmarkEnd w:id="227"/>
      <w:bookmarkEnd w:id="228"/>
      <w:bookmarkEnd w:id="229"/>
    </w:p>
    <w:p>
      <w:pPr>
        <w:tabs>
          <w:tab w:val="clear" w:pos="426"/>
        </w:tabs>
      </w:pPr>
      <w:r>
        <w:t>43．公开招标失败的处理</w:t>
      </w:r>
    </w:p>
    <w:p>
      <w:pPr>
        <w:tabs>
          <w:tab w:val="clear" w:pos="426"/>
        </w:tabs>
      </w:pPr>
      <w:r>
        <w:rPr>
          <w:szCs w:val="21"/>
        </w:rPr>
        <w:t>43.1本项目公开招标过程中若由于投标截止后</w:t>
      </w:r>
      <w:r>
        <w:rPr>
          <w:rFonts w:hint="eastAsia"/>
        </w:rPr>
        <w:t>实际递交</w:t>
      </w:r>
      <w:r>
        <w:t>投标</w:t>
      </w:r>
      <w:r>
        <w:rPr>
          <w:rFonts w:hint="eastAsia"/>
        </w:rPr>
        <w:t>文件的供应商数量不足、经评标委员会评审对招标文件作实质响应的供应商不足等原因造成公开招标失败，可由采购代理机构重新组织采购。</w:t>
      </w:r>
    </w:p>
    <w:p>
      <w:pPr>
        <w:tabs>
          <w:tab w:val="clear" w:pos="426"/>
        </w:tabs>
      </w:pPr>
      <w:r>
        <w:t>43.2对公开招标失败的项目，评标委员会在出具该项目招标失败结论的同时，提出重新采购组织形式的建议，以及进一步完善招标文件的资格、技术、商务要求的修改建议。</w:t>
      </w:r>
    </w:p>
    <w:p>
      <w:pPr>
        <w:tabs>
          <w:tab w:val="clear" w:pos="426"/>
        </w:tabs>
      </w:pPr>
      <w:r>
        <w:t>43.3评审委员会要在采购项目招标失败时，出具招标文件是否存在不合理条款的论证意见，要协助采购人、采购代理机构、财政部门答复质疑或处理投诉事项。</w:t>
      </w:r>
    </w:p>
    <w:p>
      <w:pPr>
        <w:tabs>
          <w:tab w:val="clear" w:pos="426"/>
        </w:tabs>
      </w:pPr>
      <w:r>
        <w:t>43.4重新组织采购有以下两种组织形式：</w:t>
      </w:r>
    </w:p>
    <w:p>
      <w:pPr>
        <w:tabs>
          <w:tab w:val="clear" w:pos="426"/>
        </w:tabs>
      </w:pPr>
      <w:r>
        <w:rPr>
          <w:rFonts w:hint="eastAsia"/>
        </w:rPr>
        <w:t>（</w:t>
      </w:r>
      <w:r>
        <w:t>1）由采购代理机构重新组织公开招标；</w:t>
      </w:r>
    </w:p>
    <w:p>
      <w:pPr>
        <w:tabs>
          <w:tab w:val="clear" w:pos="426"/>
        </w:tabs>
      </w:pPr>
      <w:r>
        <w:rPr>
          <w:rFonts w:hint="eastAsia"/>
        </w:rPr>
        <w:t>（</w:t>
      </w:r>
      <w:r>
        <w:t>2）根据实际情况需要向相关监督管理部门提出非公开招标方式申请，经相关监督管理部门批准公开招标失败采购项目可转为竞争性谈判或单一来源谈判方式采购。</w:t>
      </w:r>
    </w:p>
    <w:p>
      <w:pPr>
        <w:tabs>
          <w:tab w:val="clear" w:pos="426"/>
        </w:tabs>
      </w:pPr>
      <w:r>
        <w:t>43.5公开招标失败的采购项目重新组织公开招标，采购代理机构要重新按公开招标流程发布采购公告和招标文件、组成评标委员会等组织采购活动。</w:t>
      </w:r>
    </w:p>
    <w:p>
      <w:pPr>
        <w:tabs>
          <w:tab w:val="clear" w:pos="426"/>
        </w:tabs>
      </w:pPr>
      <w:r>
        <w:t>43.6公开招标失败的采购项目经相关监督管理部门批准转为竞争性谈判或单一来源谈判方式采购的，可不另行制作谈判文件，采购代理机构可就原招标文件中资格、技术及评标方法等变动情况向</w:t>
      </w:r>
      <w:r>
        <w:rPr>
          <w:rFonts w:hint="eastAsia"/>
        </w:rPr>
        <w:t>拟谈判对象发出谈判邀请。谈判邀请文件与原招标文件具同等效力，变动部分以谈判邀请文件为准。转为竞争性谈判或单一来源谈判方式采购的，供应商的原投标文件转为谈判应答文件。</w:t>
      </w:r>
    </w:p>
    <w:p>
      <w:pPr>
        <w:tabs>
          <w:tab w:val="clear" w:pos="426"/>
        </w:tabs>
      </w:pPr>
      <w:r>
        <w:t>44．公开招标失败项目转为竞争性谈判方式采购的</w:t>
      </w:r>
    </w:p>
    <w:p>
      <w:pPr>
        <w:tabs>
          <w:tab w:val="clear" w:pos="426"/>
        </w:tabs>
      </w:pPr>
      <w:r>
        <w:t>44.1谈判文件</w:t>
      </w:r>
    </w:p>
    <w:p>
      <w:pPr>
        <w:tabs>
          <w:tab w:val="clear" w:pos="426"/>
        </w:tabs>
      </w:pPr>
      <w:r>
        <w:t>44.1.1公开招标失败项目转为竞争性谈判方式采购的，原招标文件转为谈判文件。</w:t>
      </w:r>
    </w:p>
    <w:p>
      <w:pPr>
        <w:tabs>
          <w:tab w:val="clear" w:pos="426"/>
        </w:tabs>
      </w:pPr>
      <w:r>
        <w:t>44.2谈判小组</w:t>
      </w:r>
    </w:p>
    <w:p>
      <w:pPr>
        <w:tabs>
          <w:tab w:val="clear" w:pos="426"/>
        </w:tabs>
      </w:pPr>
      <w:r>
        <w:t>44.2.1公开招标失败项目转为竞争性谈判方式采购后，评标委员会转为谈判小组；专家可重新抽取也可继续采用评标委员会内专家。</w:t>
      </w:r>
    </w:p>
    <w:p>
      <w:pPr>
        <w:tabs>
          <w:tab w:val="clear" w:pos="426"/>
        </w:tabs>
      </w:pPr>
      <w:r>
        <w:rPr>
          <w:szCs w:val="21"/>
        </w:rPr>
        <w:t>44.2.2</w:t>
      </w:r>
      <w:r>
        <w:rPr>
          <w:rFonts w:hint="eastAsia"/>
        </w:rPr>
        <w:t>谈判前，谈判小组将对各供应商的谈判应答文件进行审查，</w:t>
      </w:r>
      <w:r>
        <w:rPr>
          <w:rFonts w:hint="eastAsia"/>
          <w:bCs/>
        </w:rPr>
        <w:t>当谈判应答文件出现下列情况之一的将视为无效，按无效标或废标处理，不得进入谈判，</w:t>
      </w:r>
      <w:r>
        <w:rPr>
          <w:rFonts w:hint="eastAsia"/>
        </w:rPr>
        <w:t>具体内容见原招标文件中“资格、符合性评审</w:t>
      </w:r>
      <w:r>
        <w:rPr>
          <w:rFonts w:hint="eastAsia"/>
          <w:bCs/>
        </w:rPr>
        <w:t>”</w:t>
      </w:r>
      <w:r>
        <w:rPr>
          <w:rFonts w:hint="eastAsia"/>
        </w:rPr>
        <w:t>部分以及谈判邀请中相应的变动部分。</w:t>
      </w:r>
    </w:p>
    <w:p>
      <w:pPr>
        <w:tabs>
          <w:tab w:val="clear" w:pos="426"/>
        </w:tabs>
      </w:pPr>
      <w:r>
        <w:t>44.3谈判程序</w:t>
      </w:r>
    </w:p>
    <w:p>
      <w:pPr>
        <w:tabs>
          <w:tab w:val="clear" w:pos="426"/>
        </w:tabs>
      </w:pPr>
      <w:r>
        <w:t>44.3.1参加谈判的供应商和谈判小组成员填写谈判登记表，并交验证明文件（法定代表人证明书、法人授权委托书、被授权的谈判代表身份证原件）。</w:t>
      </w:r>
    </w:p>
    <w:p>
      <w:pPr>
        <w:tabs>
          <w:tab w:val="clear" w:pos="426"/>
        </w:tabs>
      </w:pPr>
      <w:r>
        <w:t>44.3.2</w:t>
      </w:r>
      <w:r>
        <w:rPr>
          <w:rFonts w:hint="eastAsia"/>
        </w:rPr>
        <w:t>谈判小组主持人宣布谈判规则和谈判纪律。</w:t>
      </w:r>
    </w:p>
    <w:p>
      <w:pPr>
        <w:tabs>
          <w:tab w:val="clear" w:pos="426"/>
        </w:tabs>
      </w:pPr>
      <w:r>
        <w:t>44.3.3</w:t>
      </w:r>
      <w:r>
        <w:rPr>
          <w:rFonts w:hint="eastAsia"/>
        </w:rPr>
        <w:t>在谈判中，谈判小组将就以下谈判内容跟供应商进行谈判：</w:t>
      </w:r>
    </w:p>
    <w:p>
      <w:pPr>
        <w:tabs>
          <w:tab w:val="clear" w:pos="426"/>
        </w:tabs>
      </w:pPr>
      <w:r>
        <w:rPr>
          <w:rFonts w:hint="eastAsia"/>
        </w:rPr>
        <w:t>（</w:t>
      </w:r>
      <w:r>
        <w:t>1</w:t>
      </w:r>
      <w:r>
        <w:rPr>
          <w:rFonts w:hint="eastAsia"/>
        </w:rPr>
        <w:t>）项目方案；</w:t>
      </w:r>
    </w:p>
    <w:p>
      <w:pPr>
        <w:tabs>
          <w:tab w:val="clear" w:pos="426"/>
        </w:tabs>
      </w:pPr>
      <w:r>
        <w:rPr>
          <w:rFonts w:hint="eastAsia"/>
        </w:rPr>
        <w:t>（</w:t>
      </w:r>
      <w:r>
        <w:t>2）报价；</w:t>
      </w:r>
    </w:p>
    <w:p>
      <w:pPr>
        <w:tabs>
          <w:tab w:val="clear" w:pos="426"/>
        </w:tabs>
      </w:pPr>
      <w:r>
        <w:rPr>
          <w:rFonts w:hint="eastAsia"/>
        </w:rPr>
        <w:t>（</w:t>
      </w:r>
      <w:r>
        <w:t>3）其它相关事项。</w:t>
      </w:r>
    </w:p>
    <w:p>
      <w:pPr>
        <w:tabs>
          <w:tab w:val="clear" w:pos="426"/>
        </w:tabs>
      </w:pPr>
      <w:r>
        <w:rPr>
          <w:rFonts w:hint="eastAsia"/>
        </w:rPr>
        <w:t>原招标文件或谈判邀请文件有实质性变动的，谈判小组应当通过采购代理机构通知所有参加谈判的供应商。</w:t>
      </w:r>
    </w:p>
    <w:p>
      <w:pPr>
        <w:tabs>
          <w:tab w:val="clear" w:pos="426"/>
        </w:tabs>
      </w:pPr>
      <w:r>
        <w:t>44.3.4谈判小组可以用书面形式要求各供应商对其谈判应答文件含义不明确的内容作必要的澄清或者说明，重要问题供应商应以书面形式进行澄清、说明。</w:t>
      </w:r>
    </w:p>
    <w:p>
      <w:pPr>
        <w:tabs>
          <w:tab w:val="clear" w:pos="426"/>
        </w:tabs>
      </w:pPr>
      <w:r>
        <w:t xml:space="preserve">44.3.5 </w:t>
      </w:r>
      <w:r>
        <w:rPr>
          <w:rFonts w:hint="eastAsia"/>
        </w:rPr>
        <w:t>允许供应商在谈判结束之前根据谈判小组提出的内容进行澄清、修改或完善，或对项目方案进行相应的调整。</w:t>
      </w:r>
    </w:p>
    <w:p>
      <w:pPr>
        <w:tabs>
          <w:tab w:val="clear" w:pos="426"/>
        </w:tabs>
      </w:pPr>
      <w:r>
        <w:t>44.3.6供应商对谈判应答文件进行修改，都应形成文字材料，并</w:t>
      </w:r>
      <w:r>
        <w:rPr>
          <w:rFonts w:hint="eastAsia"/>
        </w:rPr>
        <w:t>经供应商谈判授权人签字认可。</w:t>
      </w:r>
    </w:p>
    <w:p>
      <w:pPr>
        <w:tabs>
          <w:tab w:val="clear" w:pos="426"/>
        </w:tabs>
      </w:pPr>
      <w: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tabs>
          <w:tab w:val="clear" w:pos="426"/>
        </w:tabs>
        <w:rPr>
          <w:szCs w:val="21"/>
        </w:rPr>
      </w:pPr>
      <w:r>
        <w:rPr>
          <w:szCs w:val="21"/>
        </w:rPr>
        <w:t>44.3.8有下列情形之一的，该供应商的谈判结果</w:t>
      </w:r>
      <w:r>
        <w:rPr>
          <w:rFonts w:hint="eastAsia"/>
          <w:bCs/>
        </w:rPr>
        <w:t>按无效标或废标处理</w:t>
      </w:r>
      <w:r>
        <w:rPr>
          <w:rFonts w:hint="eastAsia"/>
          <w:szCs w:val="21"/>
        </w:rPr>
        <w:t>，</w:t>
      </w:r>
      <w:r>
        <w:rPr>
          <w:rFonts w:hint="eastAsia"/>
        </w:rPr>
        <w:t>具体内容见原招标文件中不符合“资格、符合性评审条款”部分以及谈判邀请中相应的变动部分。</w:t>
      </w:r>
    </w:p>
    <w:p>
      <w:pPr>
        <w:tabs>
          <w:tab w:val="clear" w:pos="426"/>
        </w:tabs>
      </w:pPr>
      <w:r>
        <w:t>44.3.9谈判结束后，谈判小组根据供应商提供的谈判应答文件、谈判过程中产生的相关资料，对供应</w:t>
      </w:r>
      <w:r>
        <w:rPr>
          <w:rFonts w:hint="eastAsia"/>
        </w:rPr>
        <w:t>商谈判应答文件进行评估与比较，提出书面评审意见。</w:t>
      </w:r>
    </w:p>
    <w:p>
      <w:pPr>
        <w:tabs>
          <w:tab w:val="clear" w:pos="426"/>
        </w:tabs>
      </w:pPr>
      <w:r>
        <w:t>44.3.10谈判小组将对谈判过程进行记录，以存档备查。</w:t>
      </w:r>
    </w:p>
    <w:p>
      <w:pPr>
        <w:tabs>
          <w:tab w:val="clear" w:pos="426"/>
        </w:tabs>
      </w:pPr>
      <w:r>
        <w:t>44.4评标方法和定标原则</w:t>
      </w:r>
    </w:p>
    <w:p>
      <w:pPr>
        <w:tabs>
          <w:tab w:val="clear" w:pos="426"/>
        </w:tabs>
      </w:pPr>
      <w:r>
        <w:t>44.4.1竞争性谈判采购项目的评标方法要比照最低评标价法规定执行。如确因实际情况需要采用其他评标方法的，应报经同级相关监督管理部门批准。原招标文件若采用</w:t>
      </w:r>
      <w:r>
        <w:rPr>
          <w:rFonts w:hint="eastAsia"/>
          <w:bCs/>
        </w:rPr>
        <w:t>最低评标价法以外的评标方法，转为竞争性谈判后，评标方法应采用</w:t>
      </w:r>
      <w:r>
        <w:rPr>
          <w:rFonts w:hint="eastAsia"/>
        </w:rPr>
        <w:t>最低评标价法。</w:t>
      </w:r>
    </w:p>
    <w:p>
      <w:pPr>
        <w:tabs>
          <w:tab w:val="clear" w:pos="426"/>
        </w:tabs>
      </w:pPr>
      <w:r>
        <w:rPr>
          <w:szCs w:val="21"/>
        </w:rPr>
        <w:t>44.4.2对公开招标失败转为竞争性谈判方式采购的项目，谈判小组</w:t>
      </w:r>
      <w:r>
        <w:rPr>
          <w:rFonts w:hint="eastAsia"/>
        </w:rPr>
        <w:t>对谈判应答文件进行评审和比较，综合各家供应商最终的方案、服务和投资等谈判结果并按本通用条款第</w:t>
      </w:r>
      <w:r>
        <w:rPr>
          <w:bCs/>
          <w:szCs w:val="21"/>
        </w:rPr>
        <w:t>37.1.1款</w:t>
      </w:r>
      <w:r>
        <w:rPr>
          <w:rFonts w:hint="eastAsia"/>
        </w:rPr>
        <w:t>的</w:t>
      </w:r>
      <w:r>
        <w:rPr>
          <w:rFonts w:hint="eastAsia"/>
          <w:bCs/>
        </w:rPr>
        <w:t>最低评标价法</w:t>
      </w:r>
      <w:r>
        <w:rPr>
          <w:rFonts w:hint="eastAsia"/>
        </w:rPr>
        <w:t>进行评审。</w:t>
      </w:r>
    </w:p>
    <w:p>
      <w:pPr>
        <w:tabs>
          <w:tab w:val="clear" w:pos="426"/>
        </w:tabs>
      </w:pPr>
      <w:r>
        <w:t>44.4.3若要采用其他评标方法的，必须报经相关监督管理部门批准，谈判小组按批准的评标方法进行评审。谈判邀请文件中应注明批准的评标方法。</w:t>
      </w:r>
    </w:p>
    <w:p>
      <w:pPr>
        <w:tabs>
          <w:tab w:val="clear" w:pos="426"/>
        </w:tabs>
      </w:pPr>
      <w:r>
        <w:t>44.4.4谈判小组向采购代理机构提交书面评标报告，并推荐中标候选人或确定中标供应商。</w:t>
      </w:r>
    </w:p>
    <w:p>
      <w:pPr>
        <w:tabs>
          <w:tab w:val="clear" w:pos="426"/>
        </w:tabs>
      </w:pPr>
      <w:r>
        <w:t>45．公开招标失败项目转为单一来源谈判方式采购</w:t>
      </w:r>
    </w:p>
    <w:p>
      <w:pPr>
        <w:tabs>
          <w:tab w:val="clear" w:pos="426"/>
        </w:tabs>
      </w:pPr>
      <w:r>
        <w:t>45.1谈判文件</w:t>
      </w:r>
    </w:p>
    <w:p>
      <w:pPr>
        <w:tabs>
          <w:tab w:val="clear" w:pos="426"/>
        </w:tabs>
      </w:pPr>
      <w:r>
        <w:t>45.1.1公开招标失败项目转为单一来源谈判方式采购的，原招标文件转为谈判文件。</w:t>
      </w:r>
    </w:p>
    <w:p>
      <w:pPr>
        <w:tabs>
          <w:tab w:val="clear" w:pos="426"/>
        </w:tabs>
      </w:pPr>
      <w:r>
        <w:t>45.2谈判小组</w:t>
      </w:r>
    </w:p>
    <w:p>
      <w:pPr>
        <w:tabs>
          <w:tab w:val="clear" w:pos="426"/>
        </w:tabs>
      </w:pPr>
      <w:r>
        <w:t>45.2.1公开招标失败项目转为单一来源谈判方式采购后，评标委员会转为谈判小组，专家可重新抽取也可继续采用评标委员会内专家。</w:t>
      </w:r>
    </w:p>
    <w:p>
      <w:pPr>
        <w:tabs>
          <w:tab w:val="clear" w:pos="426"/>
        </w:tabs>
      </w:pPr>
      <w:r>
        <w:rPr>
          <w:szCs w:val="21"/>
        </w:rPr>
        <w:t>45.2.2</w:t>
      </w:r>
      <w:r>
        <w:rPr>
          <w:rFonts w:hint="eastAsia"/>
        </w:rPr>
        <w:t>谈判前，谈判小组将对单一来源供应商的谈判应答文件进行审查，</w:t>
      </w:r>
      <w:r>
        <w:rPr>
          <w:rFonts w:hint="eastAsia"/>
          <w:bCs/>
        </w:rPr>
        <w:t>当谈判应答文件出现下列情况之一的将视为无效，按无效标或废标处理，不得进入谈判，</w:t>
      </w:r>
      <w:r>
        <w:rPr>
          <w:rFonts w:hint="eastAsia"/>
        </w:rPr>
        <w:t>具体内容见原招标文件中“资格、符合性评审条款</w:t>
      </w:r>
      <w:r>
        <w:rPr>
          <w:rFonts w:hint="eastAsia"/>
          <w:bCs/>
        </w:rPr>
        <w:t>”</w:t>
      </w:r>
      <w:r>
        <w:rPr>
          <w:rFonts w:hint="eastAsia"/>
        </w:rPr>
        <w:t>部分以及谈判邀请中相应的变动部分。</w:t>
      </w:r>
    </w:p>
    <w:p>
      <w:pPr>
        <w:tabs>
          <w:tab w:val="clear" w:pos="426"/>
        </w:tabs>
      </w:pPr>
      <w:r>
        <w:t>45.3谈判程序</w:t>
      </w:r>
    </w:p>
    <w:p>
      <w:pPr>
        <w:tabs>
          <w:tab w:val="clear" w:pos="426"/>
        </w:tabs>
      </w:pPr>
      <w:r>
        <w:t>45.3.1参加谈判的供应商和谈判小组成员填写谈判登记表，并交验证明文件（法定代表人证明书、法人授权委托书、被授权的谈判代表身份证原件）。</w:t>
      </w:r>
    </w:p>
    <w:p>
      <w:pPr>
        <w:tabs>
          <w:tab w:val="clear" w:pos="426"/>
        </w:tabs>
      </w:pPr>
      <w:r>
        <w:t>45.3.2</w:t>
      </w:r>
      <w:r>
        <w:rPr>
          <w:rFonts w:hint="eastAsia"/>
        </w:rPr>
        <w:t>谈判小组主持人宣布谈判规则和谈判纪律。</w:t>
      </w:r>
    </w:p>
    <w:p>
      <w:pPr>
        <w:tabs>
          <w:tab w:val="clear" w:pos="426"/>
        </w:tabs>
      </w:pPr>
      <w:r>
        <w:t>45.3.3</w:t>
      </w:r>
      <w:r>
        <w:rPr>
          <w:rFonts w:hint="eastAsia"/>
        </w:rPr>
        <w:t>在谈判中，谈判小组将就以下谈判内容跟供应商进行谈判：</w:t>
      </w:r>
    </w:p>
    <w:p>
      <w:pPr>
        <w:tabs>
          <w:tab w:val="clear" w:pos="426"/>
        </w:tabs>
      </w:pPr>
      <w:r>
        <w:rPr>
          <w:rFonts w:hint="eastAsia"/>
        </w:rPr>
        <w:t>（</w:t>
      </w:r>
      <w:r>
        <w:t>1</w:t>
      </w:r>
      <w:r>
        <w:rPr>
          <w:rFonts w:hint="eastAsia"/>
        </w:rPr>
        <w:t>）项目方案；</w:t>
      </w:r>
    </w:p>
    <w:p>
      <w:pPr>
        <w:tabs>
          <w:tab w:val="clear" w:pos="426"/>
        </w:tabs>
      </w:pPr>
      <w:r>
        <w:rPr>
          <w:rFonts w:hint="eastAsia"/>
        </w:rPr>
        <w:t>（</w:t>
      </w:r>
      <w:r>
        <w:t>2）报价；</w:t>
      </w:r>
    </w:p>
    <w:p>
      <w:pPr>
        <w:tabs>
          <w:tab w:val="clear" w:pos="426"/>
        </w:tabs>
      </w:pPr>
      <w:r>
        <w:rPr>
          <w:rFonts w:hint="eastAsia"/>
        </w:rPr>
        <w:t>（</w:t>
      </w:r>
      <w:r>
        <w:t>3）其它相关事项。</w:t>
      </w:r>
    </w:p>
    <w:p>
      <w:pPr>
        <w:tabs>
          <w:tab w:val="clear" w:pos="426"/>
        </w:tabs>
      </w:pPr>
      <w:r>
        <w:rPr>
          <w:rFonts w:hint="eastAsia"/>
        </w:rPr>
        <w:t>原招标文件或谈判邀请文件有实质性变动的，谈判小组应当通过采购代理机构通知供应商。</w:t>
      </w:r>
    </w:p>
    <w:p>
      <w:pPr>
        <w:tabs>
          <w:tab w:val="clear" w:pos="426"/>
        </w:tabs>
      </w:pPr>
      <w:r>
        <w:t>45.3.4谈判小组可以用书面形式要求供应商对其谈判应答文件含义不明确的内容作必要的澄清或者说明，重要问题供应商应以书面形式进行澄清、说明。</w:t>
      </w:r>
    </w:p>
    <w:p>
      <w:pPr>
        <w:tabs>
          <w:tab w:val="clear" w:pos="426"/>
        </w:tabs>
      </w:pPr>
      <w:r>
        <w:t xml:space="preserve">45.3.5 </w:t>
      </w:r>
      <w:r>
        <w:rPr>
          <w:rFonts w:hint="eastAsia"/>
        </w:rPr>
        <w:t>允许供应商在谈判结束之前根据谈判小组提出的内容进行澄清、修改或完善，或对项目方案进行相应的调整。</w:t>
      </w:r>
    </w:p>
    <w:p>
      <w:pPr>
        <w:tabs>
          <w:tab w:val="clear" w:pos="426"/>
        </w:tabs>
      </w:pPr>
      <w:r>
        <w:t>45.3.6供应商对谈判应答文件进行修改，都应形成文字材料，并</w:t>
      </w:r>
      <w:r>
        <w:rPr>
          <w:rFonts w:hint="eastAsia"/>
        </w:rPr>
        <w:t>经供应商谈判授权人签字认可。</w:t>
      </w:r>
    </w:p>
    <w:p>
      <w:pPr>
        <w:tabs>
          <w:tab w:val="clear" w:pos="426"/>
        </w:tabs>
      </w:pPr>
      <w:r>
        <w:t>45.3.7谈判小组与单一来源供应商进行谈判。供应商有两次更改机会；供应商应在规定的时间内提出最后更改及书面承诺。</w:t>
      </w:r>
    </w:p>
    <w:p>
      <w:pPr>
        <w:tabs>
          <w:tab w:val="clear" w:pos="426"/>
        </w:tabs>
        <w:rPr>
          <w:szCs w:val="21"/>
        </w:rPr>
      </w:pPr>
      <w:r>
        <w:rPr>
          <w:szCs w:val="21"/>
        </w:rPr>
        <w:t>45.3.8有下列情形之一的，供应商的谈判结果作废标处理，</w:t>
      </w:r>
      <w:r>
        <w:rPr>
          <w:rFonts w:hint="eastAsia"/>
        </w:rPr>
        <w:t>具体内容见原招标文件中不符合“资格、符合性评审条款”部分以及谈判邀请中相应的变动部分。</w:t>
      </w:r>
    </w:p>
    <w:p>
      <w:pPr>
        <w:tabs>
          <w:tab w:val="clear" w:pos="426"/>
        </w:tabs>
      </w:pPr>
      <w:r>
        <w:t>45.3.9谈判结束后，谈判小组根据供应商提供的谈判应答文件、谈判过程中产生的相关资料，对供应</w:t>
      </w:r>
      <w:r>
        <w:rPr>
          <w:rFonts w:hint="eastAsia"/>
        </w:rPr>
        <w:t>商谈判应答文件进行评估与比较，提出书面评审意见。</w:t>
      </w:r>
    </w:p>
    <w:p>
      <w:pPr>
        <w:tabs>
          <w:tab w:val="clear" w:pos="426"/>
        </w:tabs>
      </w:pPr>
      <w:r>
        <w:t>45.3.10谈判小组将对谈判过程进行记录，以存档备查。</w:t>
      </w:r>
    </w:p>
    <w:p>
      <w:pPr>
        <w:tabs>
          <w:tab w:val="clear" w:pos="426"/>
        </w:tabs>
      </w:pPr>
      <w:r>
        <w:t>45.4评标方法和定标原则</w:t>
      </w:r>
    </w:p>
    <w:p>
      <w:pPr>
        <w:tabs>
          <w:tab w:val="clear" w:pos="426"/>
        </w:tabs>
      </w:pPr>
      <w:r>
        <w:rPr>
          <w:szCs w:val="21"/>
        </w:rPr>
        <w:t>45.4.1单一来源谈判采用最低评标价法。</w:t>
      </w:r>
      <w:r>
        <w:rPr>
          <w:rFonts w:hint="eastAsia"/>
        </w:rPr>
        <w:t>原招标文件若采用</w:t>
      </w:r>
      <w:r>
        <w:rPr>
          <w:rFonts w:hint="eastAsia"/>
          <w:bCs/>
        </w:rPr>
        <w:t>最低评标价法以外的评标方法，转为单一来源谈判后，评标方法改为</w:t>
      </w:r>
      <w:r>
        <w:rPr>
          <w:rFonts w:hint="eastAsia"/>
          <w:szCs w:val="21"/>
        </w:rPr>
        <w:t>最低评标价法。谈判小组</w:t>
      </w:r>
      <w:r>
        <w:rPr>
          <w:rFonts w:hint="eastAsia"/>
        </w:rPr>
        <w:t>对谈判应答文件进行评审和比较，对供应商最终的方案、服务和投资等谈判结果按本通用条款第</w:t>
      </w:r>
      <w:r>
        <w:t>37.1.1的</w:t>
      </w:r>
      <w:r>
        <w:rPr>
          <w:rFonts w:hint="eastAsia"/>
          <w:bCs/>
        </w:rPr>
        <w:t>最低评标价法</w:t>
      </w:r>
      <w:r>
        <w:rPr>
          <w:rFonts w:hint="eastAsia"/>
        </w:rPr>
        <w:t>进行评审。</w:t>
      </w:r>
    </w:p>
    <w:p>
      <w:pPr>
        <w:tabs>
          <w:tab w:val="clear" w:pos="426"/>
        </w:tabs>
        <w:rPr>
          <w:szCs w:val="21"/>
        </w:rPr>
      </w:pPr>
      <w:r>
        <w:t>45.4.2谈判小组向采购代理机构提交书面评标报告，并推荐中标候选人或确定中标供应商。</w:t>
      </w:r>
    </w:p>
    <w:p>
      <w:pPr>
        <w:pStyle w:val="4"/>
        <w:tabs>
          <w:tab w:val="clear" w:pos="426"/>
        </w:tabs>
        <w:rPr>
          <w:sz w:val="28"/>
          <w:szCs w:val="28"/>
        </w:rPr>
      </w:pPr>
      <w:bookmarkStart w:id="230" w:name="_Toc530152530"/>
      <w:bookmarkStart w:id="231" w:name="_Toc529280589"/>
      <w:bookmarkStart w:id="232" w:name="_Toc14427262"/>
      <w:bookmarkStart w:id="233" w:name="_Toc21323"/>
      <w:r>
        <w:rPr>
          <w:rFonts w:hint="eastAsia"/>
        </w:rPr>
        <w:t>第九章</w:t>
      </w:r>
      <w:r>
        <w:t xml:space="preserve"> </w:t>
      </w:r>
      <w:r>
        <w:rPr>
          <w:rFonts w:hint="eastAsia"/>
        </w:rPr>
        <w:t>合同的授予与备案</w:t>
      </w:r>
      <w:bookmarkEnd w:id="230"/>
      <w:bookmarkEnd w:id="231"/>
      <w:bookmarkEnd w:id="232"/>
      <w:bookmarkEnd w:id="233"/>
    </w:p>
    <w:p>
      <w:pPr>
        <w:tabs>
          <w:tab w:val="clear" w:pos="426"/>
        </w:tabs>
      </w:pPr>
      <w:r>
        <w:t xml:space="preserve">46．  </w:t>
      </w:r>
      <w:r>
        <w:rPr>
          <w:rFonts w:hint="eastAsia"/>
        </w:rPr>
        <w:t>履约担保</w:t>
      </w:r>
    </w:p>
    <w:p>
      <w:pPr>
        <w:tabs>
          <w:tab w:val="clear" w:pos="426"/>
        </w:tabs>
      </w:pPr>
      <w:r>
        <w:t xml:space="preserve">46.1  </w:t>
      </w:r>
      <w:r>
        <w:rPr>
          <w:rFonts w:hint="eastAsia"/>
        </w:rPr>
        <w:t>本项目履约担保的相关要求：详见“投标须知前附表”。</w:t>
      </w:r>
    </w:p>
    <w:p>
      <w:pPr>
        <w:tabs>
          <w:tab w:val="clear" w:pos="426"/>
        </w:tabs>
      </w:pPr>
      <w:r>
        <w:t xml:space="preserve">46.2  </w:t>
      </w:r>
      <w:r>
        <w:rPr>
          <w:rFonts w:hint="eastAsia"/>
        </w:rPr>
        <w:t>在签订合同前，中标供应商应按规定向采购人提交履约担保，采用履约保函形式的可参照使用本招标文件提供的格式。</w:t>
      </w:r>
    </w:p>
    <w:p>
      <w:pPr>
        <w:tabs>
          <w:tab w:val="clear" w:pos="426"/>
        </w:tabs>
      </w:pPr>
      <w:r>
        <w:t xml:space="preserve">46.3  </w:t>
      </w:r>
      <w:r>
        <w:rPr>
          <w:rFonts w:hint="eastAsia"/>
        </w:rPr>
        <w:t>联合体中标的，其履约担保由联合体牵头人提交，并应符合本节第</w:t>
      </w:r>
      <w:r>
        <w:t>42.1条、第45.2条的规定。</w:t>
      </w:r>
    </w:p>
    <w:p>
      <w:pPr>
        <w:tabs>
          <w:tab w:val="clear" w:pos="426"/>
        </w:tabs>
      </w:pPr>
      <w:r>
        <w:t xml:space="preserve">46.4  </w:t>
      </w:r>
      <w:r>
        <w:rPr>
          <w:rFonts w:hint="eastAsia"/>
        </w:rPr>
        <w:t>如果中标供应商拒不提交本节第</w:t>
      </w:r>
      <w:r>
        <w:t>42.1条、第42.2条要求的履约担保的，采购人可取消其中标资格，并没收其投标担保。</w:t>
      </w:r>
    </w:p>
    <w:p>
      <w:pPr>
        <w:tabs>
          <w:tab w:val="clear" w:pos="426"/>
        </w:tabs>
      </w:pPr>
      <w:r>
        <w:t xml:space="preserve">47．  </w:t>
      </w:r>
      <w:r>
        <w:rPr>
          <w:rFonts w:hint="eastAsia"/>
        </w:rPr>
        <w:t>签订合同</w:t>
      </w:r>
    </w:p>
    <w:p>
      <w:pPr>
        <w:tabs>
          <w:tab w:val="clear" w:pos="426"/>
        </w:tabs>
      </w:pPr>
      <w:r>
        <w:t xml:space="preserve">47.1  </w:t>
      </w:r>
      <w:r>
        <w:rPr>
          <w:rFonts w:hint="eastAsia"/>
        </w:rPr>
        <w:t>采购人和中标供应商应当按“投标须知前附表”的规定，依据招标文件和中标供应商的投标文件订立书面合同。</w:t>
      </w:r>
    </w:p>
    <w:p>
      <w:pPr>
        <w:tabs>
          <w:tab w:val="clear" w:pos="426"/>
        </w:tabs>
      </w:pPr>
      <w:r>
        <w:t xml:space="preserve">47.2  </w:t>
      </w:r>
      <w:r>
        <w:rPr>
          <w:rFonts w:hint="eastAsia"/>
        </w:rPr>
        <w:t>中标供应商无正当理由拒签合同的，或者在签订合同时向采购人提出附加条件或者更改合同实质性内容的，采购人可取消其中标资格，并没收其投标担保；给采购人的损失超过其投标担保数额的，中标供应商应当对超过部分予以赔偿。</w:t>
      </w:r>
    </w:p>
    <w:p>
      <w:pPr>
        <w:pStyle w:val="4"/>
        <w:tabs>
          <w:tab w:val="clear" w:pos="426"/>
        </w:tabs>
      </w:pPr>
      <w:bookmarkStart w:id="234" w:name="_Toc530152531"/>
      <w:bookmarkStart w:id="235" w:name="_Toc14427263"/>
      <w:bookmarkStart w:id="236" w:name="_Toc529280590"/>
      <w:bookmarkStart w:id="237" w:name="_Toc17065"/>
      <w:r>
        <w:rPr>
          <w:rFonts w:hint="eastAsia"/>
        </w:rPr>
        <w:t>第十章</w:t>
      </w:r>
      <w:r>
        <w:t xml:space="preserve"> </w:t>
      </w:r>
      <w:r>
        <w:rPr>
          <w:rFonts w:hint="eastAsia"/>
        </w:rPr>
        <w:t>质疑受理</w:t>
      </w:r>
      <w:bookmarkEnd w:id="234"/>
      <w:bookmarkEnd w:id="235"/>
      <w:bookmarkEnd w:id="236"/>
      <w:bookmarkEnd w:id="237"/>
    </w:p>
    <w:p>
      <w:pPr>
        <w:tabs>
          <w:tab w:val="clear" w:pos="426"/>
        </w:tabs>
      </w:pPr>
      <w:r>
        <w:t>48.质疑受理机构</w:t>
      </w:r>
    </w:p>
    <w:p>
      <w:pPr>
        <w:tabs>
          <w:tab w:val="clear" w:pos="426"/>
        </w:tabs>
        <w:rPr>
          <w:sz w:val="22"/>
          <w:szCs w:val="22"/>
        </w:rPr>
      </w:pPr>
      <w:r>
        <w:rPr>
          <w:rFonts w:hint="eastAsia"/>
        </w:rPr>
        <w:t>采购代理机构及采购人</w:t>
      </w:r>
      <w:r>
        <w:t>负责受理和答复质疑</w:t>
      </w:r>
      <w:r>
        <w:rPr>
          <w:sz w:val="22"/>
          <w:szCs w:val="22"/>
        </w:rPr>
        <w:t>。</w:t>
      </w:r>
    </w:p>
    <w:p>
      <w:pPr>
        <w:tabs>
          <w:tab w:val="clear" w:pos="426"/>
        </w:tabs>
      </w:pPr>
      <w:r>
        <w:t>49.质疑处理原则</w:t>
      </w:r>
    </w:p>
    <w:p>
      <w:pPr>
        <w:tabs>
          <w:tab w:val="clear" w:pos="426"/>
        </w:tabs>
      </w:pPr>
      <w:r>
        <w:t>49.1质疑处理遵循公平、公正、规范、高效的原则。</w:t>
      </w:r>
    </w:p>
    <w:p>
      <w:pPr>
        <w:tabs>
          <w:tab w:val="clear" w:pos="426"/>
        </w:tabs>
      </w:pPr>
      <w:r>
        <w:t>49.2供应商质疑实行实名制和“谁质疑，谁举证”的原则，质疑应有具体的事项及事实根据。</w:t>
      </w:r>
    </w:p>
    <w:p>
      <w:pPr>
        <w:tabs>
          <w:tab w:val="clear" w:pos="426"/>
        </w:tabs>
      </w:pPr>
      <w:r>
        <w:t>50.质疑受理的时效和范围</w:t>
      </w:r>
    </w:p>
    <w:p>
      <w:pPr>
        <w:tabs>
          <w:tab w:val="clear" w:pos="426"/>
        </w:tabs>
      </w:pPr>
      <w:r>
        <w:t>50.1供应商认为采购文件、采购过程和中标、成交结果使自己权益受到损害的，可以在知道或者应知其权益受到损害之日起10个工作日内，以书面形式向采购代理机构提出质疑。</w:t>
      </w:r>
    </w:p>
    <w:p>
      <w:pPr>
        <w:tabs>
          <w:tab w:val="clear" w:pos="426"/>
        </w:tabs>
      </w:pPr>
      <w:r>
        <w:t>50.2供应商对采购文件有疑问的，采购代理机构及采购人按答疑程序处理；供应商对采购文件有异议的，按质疑程序处理。</w:t>
      </w:r>
    </w:p>
    <w:p>
      <w:pPr>
        <w:tabs>
          <w:tab w:val="clear" w:pos="426"/>
        </w:tabs>
      </w:pPr>
      <w:r>
        <w:t>51.质疑条件</w:t>
      </w:r>
    </w:p>
    <w:p>
      <w:pPr>
        <w:tabs>
          <w:tab w:val="clear" w:pos="426"/>
        </w:tabs>
      </w:pPr>
      <w:r>
        <w:t>51.1提出质疑的应是直接参与相应采购项目的供应商。以联合体形</w:t>
      </w:r>
      <w:r>
        <w:rPr>
          <w:rFonts w:hint="eastAsia"/>
        </w:rPr>
        <w:t>式参与的，由联合体共同提出；</w:t>
      </w:r>
    </w:p>
    <w:p>
      <w:pPr>
        <w:tabs>
          <w:tab w:val="clear" w:pos="426"/>
        </w:tabs>
      </w:pPr>
      <w:r>
        <w:t>51.2提供质疑的项目名称和编号、质疑供应商的单位名称、详细地址、邮政编码、联系人及联系电话等基本情况；</w:t>
      </w:r>
    </w:p>
    <w:p>
      <w:pPr>
        <w:tabs>
          <w:tab w:val="clear" w:pos="426"/>
        </w:tabs>
      </w:pPr>
      <w:r>
        <w:t>51.3有质疑的具体事项、请求及理由，并附相关证据材料；</w:t>
      </w:r>
    </w:p>
    <w:p>
      <w:pPr>
        <w:tabs>
          <w:tab w:val="clear" w:pos="426"/>
        </w:tabs>
      </w:pPr>
      <w:r>
        <w:t>51.4</w:t>
      </w:r>
      <w:r>
        <w:rPr>
          <w:rFonts w:hint="eastAsia"/>
        </w:rPr>
        <w:t>质疑书加盖公章，被授权人进行质疑的同时提交法人授权委托书；</w:t>
      </w:r>
    </w:p>
    <w:p>
      <w:pPr>
        <w:tabs>
          <w:tab w:val="clear" w:pos="426"/>
        </w:tabs>
      </w:pPr>
      <w:r>
        <w:t>51.5质疑材料中有外文资料的，应一并附上中文译本，并以中文译本为准。</w:t>
      </w:r>
    </w:p>
    <w:p>
      <w:pPr>
        <w:tabs>
          <w:tab w:val="clear" w:pos="426"/>
        </w:tabs>
      </w:pPr>
      <w:r>
        <w:t>51.6质疑不得超过质疑受理的时效和范围。</w:t>
      </w:r>
    </w:p>
    <w:p>
      <w:pPr>
        <w:tabs>
          <w:tab w:val="clear" w:pos="426"/>
        </w:tabs>
      </w:pPr>
      <w:r>
        <w:rPr>
          <w:rFonts w:hint="eastAsia"/>
        </w:rPr>
        <w:t>不符合上述条件的，我采购代理机构不予受理。</w:t>
      </w:r>
    </w:p>
    <w:p>
      <w:pPr>
        <w:tabs>
          <w:tab w:val="clear" w:pos="426"/>
        </w:tabs>
      </w:pPr>
      <w:r>
        <w:t>52.受理质疑办理程序</w:t>
      </w:r>
    </w:p>
    <w:p>
      <w:pPr>
        <w:tabs>
          <w:tab w:val="clear" w:pos="426"/>
        </w:tabs>
      </w:pPr>
      <w:r>
        <w:t>52.1先与质疑供应商进行沟通，以消除因误解或对采购规则和程序的不了解而引起的质疑。对沟通情况满意的，供应商撤回质疑，质疑处理程序终止。</w:t>
      </w:r>
    </w:p>
    <w:p>
      <w:pPr>
        <w:tabs>
          <w:tab w:val="clear" w:pos="426"/>
        </w:tabs>
      </w:pPr>
      <w:r>
        <w:t>52.2处理质疑一般进行书面审查；必要时听取各方当事人的陈述和申辩、进行相关调查；组织原评标委员会或谈判小组进行复议。</w:t>
      </w:r>
    </w:p>
    <w:p>
      <w:pPr>
        <w:tabs>
          <w:tab w:val="clear" w:pos="426"/>
        </w:tabs>
      </w:pPr>
      <w:r>
        <w:t>52.3在质疑处理期间，采购代理机构视情形决定暂停采购活动。</w:t>
      </w:r>
    </w:p>
    <w:p>
      <w:pPr>
        <w:tabs>
          <w:tab w:val="clear" w:pos="426"/>
        </w:tabs>
      </w:pPr>
      <w:r>
        <w:t>52.4采购代理机构原则上在质疑受理之日起7个工作日内书面答复质疑供应商。答复函以直接领取、传真或邮寄方式送达。</w:t>
      </w:r>
    </w:p>
    <w:p>
      <w:pPr>
        <w:tabs>
          <w:tab w:val="clear" w:pos="426"/>
        </w:tabs>
      </w:pPr>
      <w:r>
        <w:t>52.5供应商向采购代理机构提出质疑后，在质疑处理期限内，不得同时向其他方面提起同一质疑。质疑供应商如已就同一事项提起投诉、提请行政复议或诉讼的，质疑程序终止。</w:t>
      </w:r>
    </w:p>
    <w:p>
      <w:pPr>
        <w:tabs>
          <w:tab w:val="clear" w:pos="426"/>
        </w:tabs>
      </w:pPr>
      <w:r>
        <w:t>53.相关责任与义务</w:t>
      </w:r>
    </w:p>
    <w:p>
      <w:pPr>
        <w:tabs>
          <w:tab w:val="clear" w:pos="426"/>
        </w:tabs>
      </w:pPr>
      <w:r>
        <w:t>53.1采购单位、评标专家和相关供应商等当事人应积极配合采购代理机构进行质疑调查，如实反映情况，及时提供证明材料。</w:t>
      </w:r>
    </w:p>
    <w:p>
      <w:pPr>
        <w:tabs>
          <w:tab w:val="clear" w:pos="426"/>
        </w:tabs>
      </w:pPr>
      <w:r>
        <w:t>53.2质疑供应商有下列情形之一的，属于虚假、恶意质疑，采购代理机构将有权力将质疑供应商虚假、恶意质疑的行为上报相关监督管理部门，并视情节提请相关监督管理部门给予一定年限内禁止参与相关采购活动资格或其他处罚：</w:t>
      </w:r>
    </w:p>
    <w:p>
      <w:pPr>
        <w:tabs>
          <w:tab w:val="clear" w:pos="426"/>
        </w:tabs>
      </w:pPr>
      <w:r>
        <w:t>53.2.1捏造事实或提供虚假证明材料的；</w:t>
      </w:r>
    </w:p>
    <w:p>
      <w:pPr>
        <w:tabs>
          <w:tab w:val="clear" w:pos="426"/>
        </w:tabs>
      </w:pPr>
      <w:r>
        <w:t>53.2.2假冒他人名义进行质疑的；</w:t>
      </w:r>
    </w:p>
    <w:p>
      <w:pPr>
        <w:tabs>
          <w:tab w:val="clear" w:pos="426"/>
        </w:tabs>
      </w:pPr>
      <w:r>
        <w:t>53.2.3拒不配合进行有关调查、情节严重的。</w:t>
      </w:r>
    </w:p>
    <w:p>
      <w:pPr>
        <w:tabs>
          <w:tab w:val="clear" w:pos="426"/>
        </w:tabs>
        <w:rPr>
          <w:b/>
        </w:rPr>
      </w:pPr>
      <w:r>
        <w:t xml:space="preserve">54．  </w:t>
      </w:r>
      <w:r>
        <w:rPr>
          <w:rFonts w:hint="eastAsia"/>
          <w:b/>
        </w:rPr>
        <w:t>其他</w:t>
      </w:r>
    </w:p>
    <w:p>
      <w:pPr>
        <w:tabs>
          <w:tab w:val="clear" w:pos="426"/>
        </w:tabs>
      </w:pPr>
      <w:r>
        <w:t xml:space="preserve">54.1  </w:t>
      </w:r>
      <w:r>
        <w:rPr>
          <w:rFonts w:hint="eastAsia"/>
        </w:rPr>
        <w:t>本招标文件的解释权归采购代理机构所有，采购代理机构在征得采购人或相关主管部门同意后，有权在法律允许范围内调整本次招标活动的细节及保留最终解释权。</w:t>
      </w:r>
    </w:p>
    <w:p>
      <w:pPr>
        <w:tabs>
          <w:tab w:val="clear" w:pos="426"/>
        </w:tabs>
      </w:pPr>
      <w:r>
        <w:t xml:space="preserve">54.2 </w:t>
      </w:r>
      <w:r>
        <w:rPr>
          <w:rFonts w:hint="eastAsia"/>
        </w:rPr>
        <w:t>采购代理机构向投标供应商提供的资料和数据，是采购代理机构现有的能供投标供应商利用的资料，采购代理机构对投标供应商由此而作出的推论、理解和结论概不负责。</w:t>
      </w:r>
    </w:p>
    <w:p>
      <w:pPr>
        <w:tabs>
          <w:tab w:val="clear" w:pos="426"/>
        </w:tabs>
      </w:pPr>
      <w:r>
        <w:t xml:space="preserve">54.3 </w:t>
      </w:r>
      <w:r>
        <w:rPr>
          <w:rFonts w:hint="eastAsia"/>
        </w:rPr>
        <w:t>如果投标供应商实质上不符合投标资格，即使已购买招标文件、参加投标并缴纳各种费用，采购代理机构或采购人可以随时取消其投标或中标资格，采购代理机构或采购人对该投标供应商的一切损失概不责任。</w:t>
      </w:r>
    </w:p>
    <w:p>
      <w:pPr>
        <w:tabs>
          <w:tab w:val="clear" w:pos="426"/>
        </w:tabs>
      </w:pPr>
      <w:r>
        <w:t xml:space="preserve">54.4 </w:t>
      </w:r>
      <w:r>
        <w:rPr>
          <w:rFonts w:hint="eastAsia"/>
        </w:rPr>
        <w:t>中标无效的，发出的中标通知书和签订的合同自始没有法律约束力，但不影响合同中存在的有关解决争议方法的条款的效力。</w:t>
      </w:r>
    </w:p>
    <w:p>
      <w:pPr>
        <w:tabs>
          <w:tab w:val="clear" w:pos="426"/>
        </w:tabs>
      </w:pPr>
      <w:r>
        <w:t xml:space="preserve">54.5 </w:t>
      </w:r>
      <w:r>
        <w:rPr>
          <w:rFonts w:hint="eastAsia"/>
        </w:rPr>
        <w:t>本招标文件所有的附件与本招标文件具有同等效力。</w:t>
      </w:r>
    </w:p>
    <w:p>
      <w:pPr>
        <w:tabs>
          <w:tab w:val="clear" w:pos="426"/>
        </w:tabs>
      </w:pPr>
    </w:p>
    <w:p>
      <w:pPr>
        <w:shd w:val="clear" w:color="auto" w:fill="auto"/>
        <w:tabs>
          <w:tab w:val="clear" w:pos="426"/>
        </w:tabs>
        <w:adjustRightInd/>
        <w:snapToGrid/>
        <w:spacing w:line="240" w:lineRule="auto"/>
        <w:jc w:val="left"/>
      </w:pPr>
      <w:r>
        <w:br w:type="page"/>
      </w:r>
    </w:p>
    <w:p>
      <w:pPr>
        <w:pStyle w:val="81"/>
        <w:tabs>
          <w:tab w:val="clear" w:pos="426"/>
        </w:tabs>
      </w:pPr>
      <w:bookmarkStart w:id="238" w:name="_Toc37667526"/>
      <w:bookmarkStart w:id="239" w:name="_Toc3627284"/>
      <w:bookmarkStart w:id="240" w:name="_Toc14427264"/>
      <w:bookmarkStart w:id="241" w:name="_Toc5971"/>
      <w:r>
        <w:rPr>
          <w:rFonts w:hint="eastAsia"/>
        </w:rPr>
        <w:t>招标代理服务取费说明</w:t>
      </w:r>
      <w:bookmarkEnd w:id="238"/>
      <w:bookmarkEnd w:id="239"/>
      <w:bookmarkEnd w:id="240"/>
      <w:bookmarkEnd w:id="241"/>
    </w:p>
    <w:p>
      <w:pPr>
        <w:tabs>
          <w:tab w:val="clear" w:pos="426"/>
        </w:tabs>
        <w:ind w:firstLine="440" w:firstLineChars="200"/>
        <w:rPr>
          <w:sz w:val="22"/>
        </w:rPr>
      </w:pPr>
      <w:r>
        <w:rPr>
          <w:rFonts w:hint="eastAsia"/>
          <w:sz w:val="22"/>
        </w:rPr>
        <w:t>招标代理服务收费以中标金额为计算基数，按差额定率累进法计算（中标金额100 万元（含）-500 万元，下浮10%；中标金额500万元（含）-1000万元，下浮20%），向中标供应商收取，低于人民币5000元的，按最低人民币5000元收费。收费标准如下表所列：</w:t>
      </w:r>
      <w:r>
        <w:rPr>
          <w:sz w:val="22"/>
        </w:rPr>
        <w:t xml:space="preserve"> </w:t>
      </w:r>
    </w:p>
    <w:p>
      <w:pPr>
        <w:tabs>
          <w:tab w:val="clear" w:pos="426"/>
        </w:tabs>
        <w:ind w:firstLine="440" w:firstLineChars="200"/>
        <w:rPr>
          <w:sz w:val="22"/>
        </w:rPr>
      </w:pPr>
      <w:r>
        <w:rPr>
          <w:rFonts w:hint="eastAsia"/>
          <w:sz w:val="22"/>
        </w:rPr>
        <w:t>招标代理服务收费标准</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1845"/>
        <w:gridCol w:w="1845"/>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986" w:type="dxa"/>
            <w:vAlign w:val="center"/>
          </w:tcPr>
          <w:p>
            <w:pPr>
              <w:tabs>
                <w:tab w:val="clear" w:pos="426"/>
              </w:tabs>
              <w:spacing w:line="300" w:lineRule="auto"/>
              <w:jc w:val="right"/>
              <w:rPr>
                <w:szCs w:val="21"/>
              </w:rPr>
            </w:pPr>
            <w:r>
              <w:rPr>
                <w:rFonts w:hint="eastAsia"/>
                <w:szCs w:val="21"/>
              </w:rPr>
              <w:t>服务类型</w:t>
            </w:r>
          </w:p>
          <w:p>
            <w:pPr>
              <w:tabs>
                <w:tab w:val="clear" w:pos="426"/>
              </w:tabs>
              <w:spacing w:line="300" w:lineRule="auto"/>
              <w:jc w:val="center"/>
              <w:rPr>
                <w:szCs w:val="21"/>
              </w:rPr>
            </w:pPr>
            <w:r>
              <w:rPr>
                <w:rFonts w:hint="eastAsia"/>
                <w:szCs w:val="21"/>
              </w:rPr>
              <w:t>费率</w:t>
            </w:r>
          </w:p>
          <w:p>
            <w:pPr>
              <w:tabs>
                <w:tab w:val="clear" w:pos="426"/>
              </w:tabs>
              <w:spacing w:line="300" w:lineRule="auto"/>
              <w:rPr>
                <w:szCs w:val="21"/>
              </w:rPr>
            </w:pPr>
            <w:r>
              <w:rPr>
                <w:rFonts w:hint="eastAsia"/>
                <w:szCs w:val="21"/>
              </w:rPr>
              <w:t>中标金额</w:t>
            </w:r>
          </w:p>
        </w:tc>
        <w:tc>
          <w:tcPr>
            <w:tcW w:w="1845" w:type="dxa"/>
            <w:vAlign w:val="center"/>
          </w:tcPr>
          <w:p>
            <w:pPr>
              <w:spacing w:line="240" w:lineRule="auto"/>
              <w:jc w:val="center"/>
              <w:rPr>
                <w:szCs w:val="21"/>
              </w:rPr>
            </w:pPr>
            <w:r>
              <w:rPr>
                <w:rFonts w:hint="eastAsia"/>
                <w:szCs w:val="21"/>
              </w:rPr>
              <w:t>货物采购</w:t>
            </w:r>
          </w:p>
        </w:tc>
        <w:tc>
          <w:tcPr>
            <w:tcW w:w="1845" w:type="dxa"/>
            <w:vAlign w:val="center"/>
          </w:tcPr>
          <w:p>
            <w:pPr>
              <w:spacing w:line="240" w:lineRule="auto"/>
              <w:jc w:val="center"/>
              <w:rPr>
                <w:szCs w:val="21"/>
              </w:rPr>
            </w:pPr>
            <w:r>
              <w:rPr>
                <w:szCs w:val="21"/>
              </w:rPr>
              <w:t>服务采购</w:t>
            </w:r>
          </w:p>
        </w:tc>
        <w:tc>
          <w:tcPr>
            <w:tcW w:w="1846" w:type="dxa"/>
            <w:vAlign w:val="center"/>
          </w:tcPr>
          <w:p>
            <w:pPr>
              <w:spacing w:line="240" w:lineRule="auto"/>
              <w:jc w:val="center"/>
              <w:rPr>
                <w:szCs w:val="21"/>
              </w:rPr>
            </w:pPr>
            <w:r>
              <w:rPr>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hd w:val="clear" w:color="auto" w:fill="auto"/>
              <w:tabs>
                <w:tab w:val="clear" w:pos="426"/>
              </w:tabs>
              <w:adjustRightInd/>
              <w:snapToGrid/>
              <w:spacing w:line="240" w:lineRule="auto"/>
              <w:jc w:val="left"/>
              <w:rPr>
                <w:szCs w:val="21"/>
              </w:rPr>
            </w:pPr>
            <w:r>
              <w:rPr>
                <w:szCs w:val="21"/>
              </w:rPr>
              <w:t>100万元以下</w:t>
            </w:r>
          </w:p>
        </w:tc>
        <w:tc>
          <w:tcPr>
            <w:tcW w:w="1845" w:type="dxa"/>
            <w:vAlign w:val="center"/>
          </w:tcPr>
          <w:p>
            <w:pPr>
              <w:spacing w:line="240" w:lineRule="auto"/>
              <w:jc w:val="center"/>
              <w:rPr>
                <w:szCs w:val="21"/>
              </w:rPr>
            </w:pPr>
            <w:r>
              <w:rPr>
                <w:szCs w:val="21"/>
              </w:rPr>
              <w:t>1.500%</w:t>
            </w:r>
          </w:p>
        </w:tc>
        <w:tc>
          <w:tcPr>
            <w:tcW w:w="1845" w:type="dxa"/>
            <w:vAlign w:val="center"/>
          </w:tcPr>
          <w:p>
            <w:pPr>
              <w:spacing w:line="240" w:lineRule="auto"/>
              <w:jc w:val="center"/>
              <w:rPr>
                <w:szCs w:val="21"/>
              </w:rPr>
            </w:pPr>
            <w:r>
              <w:rPr>
                <w:szCs w:val="21"/>
              </w:rPr>
              <w:t>1.500%</w:t>
            </w:r>
          </w:p>
        </w:tc>
        <w:tc>
          <w:tcPr>
            <w:tcW w:w="1846" w:type="dxa"/>
            <w:vAlign w:val="center"/>
          </w:tcPr>
          <w:p>
            <w:pPr>
              <w:spacing w:line="240" w:lineRule="auto"/>
              <w:jc w:val="center"/>
              <w:rPr>
                <w:szCs w:val="21"/>
              </w:rPr>
            </w:pPr>
            <w:r>
              <w:rPr>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szCs w:val="21"/>
              </w:rPr>
            </w:pPr>
            <w:r>
              <w:rPr>
                <w:szCs w:val="21"/>
              </w:rPr>
              <w:t>100万元（含）-500万元</w:t>
            </w:r>
          </w:p>
        </w:tc>
        <w:tc>
          <w:tcPr>
            <w:tcW w:w="1845" w:type="dxa"/>
            <w:vAlign w:val="center"/>
          </w:tcPr>
          <w:p>
            <w:pPr>
              <w:spacing w:line="240" w:lineRule="auto"/>
              <w:jc w:val="center"/>
              <w:rPr>
                <w:szCs w:val="21"/>
              </w:rPr>
            </w:pPr>
            <w:r>
              <w:rPr>
                <w:szCs w:val="21"/>
              </w:rPr>
              <w:t>1.100%</w:t>
            </w:r>
          </w:p>
        </w:tc>
        <w:tc>
          <w:tcPr>
            <w:tcW w:w="1845" w:type="dxa"/>
            <w:vAlign w:val="center"/>
          </w:tcPr>
          <w:p>
            <w:pPr>
              <w:spacing w:line="240" w:lineRule="auto"/>
              <w:jc w:val="center"/>
              <w:rPr>
                <w:szCs w:val="21"/>
              </w:rPr>
            </w:pPr>
            <w:r>
              <w:rPr>
                <w:szCs w:val="21"/>
              </w:rPr>
              <w:t>0.800%</w:t>
            </w:r>
          </w:p>
        </w:tc>
        <w:tc>
          <w:tcPr>
            <w:tcW w:w="1846" w:type="dxa"/>
            <w:vAlign w:val="center"/>
          </w:tcPr>
          <w:p>
            <w:pPr>
              <w:spacing w:line="240" w:lineRule="auto"/>
              <w:jc w:val="center"/>
              <w:rPr>
                <w:szCs w:val="21"/>
              </w:rPr>
            </w:pPr>
            <w:r>
              <w:rPr>
                <w:szCs w:val="21"/>
              </w:rP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szCs w:val="21"/>
              </w:rPr>
            </w:pPr>
            <w:r>
              <w:rPr>
                <w:szCs w:val="21"/>
              </w:rPr>
              <w:t>500万元（含）-1000万元</w:t>
            </w:r>
          </w:p>
        </w:tc>
        <w:tc>
          <w:tcPr>
            <w:tcW w:w="1845" w:type="dxa"/>
            <w:vAlign w:val="center"/>
          </w:tcPr>
          <w:p>
            <w:pPr>
              <w:spacing w:line="240" w:lineRule="auto"/>
              <w:jc w:val="center"/>
              <w:rPr>
                <w:szCs w:val="21"/>
              </w:rPr>
            </w:pPr>
            <w:r>
              <w:rPr>
                <w:szCs w:val="21"/>
              </w:rPr>
              <w:t>0.800%</w:t>
            </w:r>
          </w:p>
        </w:tc>
        <w:tc>
          <w:tcPr>
            <w:tcW w:w="1845" w:type="dxa"/>
            <w:vAlign w:val="center"/>
          </w:tcPr>
          <w:p>
            <w:pPr>
              <w:spacing w:line="240" w:lineRule="auto"/>
              <w:jc w:val="center"/>
              <w:rPr>
                <w:szCs w:val="21"/>
              </w:rPr>
            </w:pPr>
            <w:r>
              <w:rPr>
                <w:szCs w:val="21"/>
              </w:rPr>
              <w:t>0.450%</w:t>
            </w:r>
          </w:p>
        </w:tc>
        <w:tc>
          <w:tcPr>
            <w:tcW w:w="1846" w:type="dxa"/>
            <w:vAlign w:val="center"/>
          </w:tcPr>
          <w:p>
            <w:pPr>
              <w:spacing w:line="240" w:lineRule="auto"/>
              <w:jc w:val="center"/>
              <w:rPr>
                <w:szCs w:val="21"/>
              </w:rPr>
            </w:pPr>
            <w:r>
              <w:rPr>
                <w:szCs w:val="21"/>
              </w:rP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szCs w:val="21"/>
              </w:rPr>
            </w:pPr>
            <w:r>
              <w:rPr>
                <w:szCs w:val="21"/>
              </w:rPr>
              <w:t>1000万元（含）-5000万元</w:t>
            </w:r>
          </w:p>
        </w:tc>
        <w:tc>
          <w:tcPr>
            <w:tcW w:w="1845" w:type="dxa"/>
            <w:vAlign w:val="center"/>
          </w:tcPr>
          <w:p>
            <w:pPr>
              <w:spacing w:line="240" w:lineRule="auto"/>
              <w:jc w:val="center"/>
              <w:rPr>
                <w:szCs w:val="21"/>
              </w:rPr>
            </w:pPr>
            <w:r>
              <w:rPr>
                <w:szCs w:val="21"/>
              </w:rPr>
              <w:t>0.500%</w:t>
            </w:r>
          </w:p>
        </w:tc>
        <w:tc>
          <w:tcPr>
            <w:tcW w:w="1845" w:type="dxa"/>
            <w:vAlign w:val="center"/>
          </w:tcPr>
          <w:p>
            <w:pPr>
              <w:spacing w:line="240" w:lineRule="auto"/>
              <w:jc w:val="center"/>
              <w:rPr>
                <w:szCs w:val="21"/>
              </w:rPr>
            </w:pPr>
            <w:r>
              <w:rPr>
                <w:szCs w:val="21"/>
              </w:rPr>
              <w:t>0.250%</w:t>
            </w:r>
          </w:p>
        </w:tc>
        <w:tc>
          <w:tcPr>
            <w:tcW w:w="1846" w:type="dxa"/>
            <w:vAlign w:val="center"/>
          </w:tcPr>
          <w:p>
            <w:pPr>
              <w:spacing w:line="240" w:lineRule="auto"/>
              <w:jc w:val="center"/>
              <w:rPr>
                <w:szCs w:val="21"/>
              </w:rPr>
            </w:pPr>
            <w:r>
              <w:rPr>
                <w:szCs w:val="21"/>
              </w:rP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szCs w:val="21"/>
              </w:rPr>
            </w:pPr>
            <w:r>
              <w:rPr>
                <w:szCs w:val="21"/>
              </w:rPr>
              <w:t>5000万元（含）-1亿元</w:t>
            </w:r>
          </w:p>
        </w:tc>
        <w:tc>
          <w:tcPr>
            <w:tcW w:w="1845" w:type="dxa"/>
            <w:vAlign w:val="center"/>
          </w:tcPr>
          <w:p>
            <w:pPr>
              <w:spacing w:line="240" w:lineRule="auto"/>
              <w:jc w:val="center"/>
              <w:rPr>
                <w:szCs w:val="21"/>
              </w:rPr>
            </w:pPr>
            <w:r>
              <w:rPr>
                <w:szCs w:val="21"/>
              </w:rPr>
              <w:t>0.250%</w:t>
            </w:r>
          </w:p>
        </w:tc>
        <w:tc>
          <w:tcPr>
            <w:tcW w:w="1845" w:type="dxa"/>
            <w:vAlign w:val="center"/>
          </w:tcPr>
          <w:p>
            <w:pPr>
              <w:spacing w:line="240" w:lineRule="auto"/>
              <w:jc w:val="center"/>
              <w:rPr>
                <w:szCs w:val="21"/>
              </w:rPr>
            </w:pPr>
            <w:r>
              <w:rPr>
                <w:szCs w:val="21"/>
              </w:rPr>
              <w:t>0.100%</w:t>
            </w:r>
          </w:p>
        </w:tc>
        <w:tc>
          <w:tcPr>
            <w:tcW w:w="1846" w:type="dxa"/>
            <w:vAlign w:val="center"/>
          </w:tcPr>
          <w:p>
            <w:pPr>
              <w:spacing w:line="240" w:lineRule="auto"/>
              <w:jc w:val="center"/>
              <w:rPr>
                <w:szCs w:val="21"/>
              </w:rPr>
            </w:pPr>
            <w:r>
              <w:rPr>
                <w:szCs w:val="21"/>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szCs w:val="21"/>
              </w:rPr>
            </w:pPr>
            <w:r>
              <w:rPr>
                <w:szCs w:val="21"/>
              </w:rPr>
              <w:t>1亿元（含）-5亿元</w:t>
            </w:r>
          </w:p>
        </w:tc>
        <w:tc>
          <w:tcPr>
            <w:tcW w:w="1845" w:type="dxa"/>
            <w:vAlign w:val="center"/>
          </w:tcPr>
          <w:p>
            <w:pPr>
              <w:spacing w:line="240" w:lineRule="auto"/>
              <w:jc w:val="center"/>
              <w:rPr>
                <w:szCs w:val="21"/>
              </w:rPr>
            </w:pPr>
            <w:r>
              <w:rPr>
                <w:szCs w:val="21"/>
              </w:rPr>
              <w:t>0.050%</w:t>
            </w:r>
          </w:p>
        </w:tc>
        <w:tc>
          <w:tcPr>
            <w:tcW w:w="1845" w:type="dxa"/>
            <w:vAlign w:val="center"/>
          </w:tcPr>
          <w:p>
            <w:pPr>
              <w:spacing w:line="240" w:lineRule="auto"/>
              <w:jc w:val="center"/>
              <w:rPr>
                <w:szCs w:val="21"/>
              </w:rPr>
            </w:pPr>
            <w:r>
              <w:rPr>
                <w:szCs w:val="21"/>
              </w:rPr>
              <w:t>0.050%</w:t>
            </w:r>
          </w:p>
        </w:tc>
        <w:tc>
          <w:tcPr>
            <w:tcW w:w="1846" w:type="dxa"/>
            <w:vAlign w:val="center"/>
          </w:tcPr>
          <w:p>
            <w:pPr>
              <w:spacing w:line="240" w:lineRule="auto"/>
              <w:jc w:val="center"/>
              <w:rPr>
                <w:szCs w:val="21"/>
              </w:rPr>
            </w:pPr>
            <w:r>
              <w:rPr>
                <w:szCs w:val="21"/>
              </w:rPr>
              <w:t>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szCs w:val="21"/>
              </w:rPr>
            </w:pPr>
            <w:r>
              <w:rPr>
                <w:szCs w:val="21"/>
              </w:rPr>
              <w:t>5亿元（含）-10亿元</w:t>
            </w:r>
          </w:p>
        </w:tc>
        <w:tc>
          <w:tcPr>
            <w:tcW w:w="1845" w:type="dxa"/>
            <w:vAlign w:val="center"/>
          </w:tcPr>
          <w:p>
            <w:pPr>
              <w:spacing w:line="240" w:lineRule="auto"/>
              <w:jc w:val="center"/>
              <w:rPr>
                <w:szCs w:val="21"/>
              </w:rPr>
            </w:pPr>
            <w:r>
              <w:rPr>
                <w:szCs w:val="21"/>
              </w:rPr>
              <w:t>0.035%</w:t>
            </w:r>
          </w:p>
        </w:tc>
        <w:tc>
          <w:tcPr>
            <w:tcW w:w="1845" w:type="dxa"/>
            <w:vAlign w:val="center"/>
          </w:tcPr>
          <w:p>
            <w:pPr>
              <w:spacing w:line="240" w:lineRule="auto"/>
              <w:jc w:val="center"/>
              <w:rPr>
                <w:szCs w:val="21"/>
              </w:rPr>
            </w:pPr>
            <w:r>
              <w:rPr>
                <w:szCs w:val="21"/>
              </w:rPr>
              <w:t>0.035%</w:t>
            </w:r>
          </w:p>
        </w:tc>
        <w:tc>
          <w:tcPr>
            <w:tcW w:w="1846" w:type="dxa"/>
            <w:vAlign w:val="center"/>
          </w:tcPr>
          <w:p>
            <w:pPr>
              <w:spacing w:line="240" w:lineRule="auto"/>
              <w:jc w:val="center"/>
              <w:rPr>
                <w:szCs w:val="21"/>
              </w:rPr>
            </w:pPr>
            <w:r>
              <w:rPr>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szCs w:val="21"/>
              </w:rPr>
            </w:pPr>
            <w:r>
              <w:rPr>
                <w:szCs w:val="21"/>
              </w:rPr>
              <w:t>10亿元（含）-50亿元</w:t>
            </w:r>
          </w:p>
        </w:tc>
        <w:tc>
          <w:tcPr>
            <w:tcW w:w="1845" w:type="dxa"/>
            <w:vAlign w:val="center"/>
          </w:tcPr>
          <w:p>
            <w:pPr>
              <w:spacing w:line="240" w:lineRule="auto"/>
              <w:jc w:val="center"/>
              <w:rPr>
                <w:szCs w:val="21"/>
              </w:rPr>
            </w:pPr>
            <w:r>
              <w:rPr>
                <w:szCs w:val="21"/>
              </w:rPr>
              <w:t>0.008%</w:t>
            </w:r>
          </w:p>
        </w:tc>
        <w:tc>
          <w:tcPr>
            <w:tcW w:w="1845" w:type="dxa"/>
            <w:vAlign w:val="center"/>
          </w:tcPr>
          <w:p>
            <w:pPr>
              <w:spacing w:line="240" w:lineRule="auto"/>
              <w:jc w:val="center"/>
              <w:rPr>
                <w:szCs w:val="21"/>
              </w:rPr>
            </w:pPr>
            <w:r>
              <w:rPr>
                <w:szCs w:val="21"/>
              </w:rPr>
              <w:t>0.008%</w:t>
            </w:r>
          </w:p>
        </w:tc>
        <w:tc>
          <w:tcPr>
            <w:tcW w:w="1846" w:type="dxa"/>
            <w:vAlign w:val="center"/>
          </w:tcPr>
          <w:p>
            <w:pPr>
              <w:spacing w:line="240" w:lineRule="auto"/>
              <w:jc w:val="center"/>
              <w:rPr>
                <w:szCs w:val="21"/>
              </w:rPr>
            </w:pPr>
            <w:r>
              <w:rPr>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szCs w:val="21"/>
              </w:rPr>
            </w:pPr>
            <w:r>
              <w:rPr>
                <w:szCs w:val="21"/>
              </w:rPr>
              <w:t>50亿元（含）-100亿元</w:t>
            </w:r>
          </w:p>
        </w:tc>
        <w:tc>
          <w:tcPr>
            <w:tcW w:w="1845" w:type="dxa"/>
            <w:vAlign w:val="center"/>
          </w:tcPr>
          <w:p>
            <w:pPr>
              <w:spacing w:line="240" w:lineRule="auto"/>
              <w:jc w:val="center"/>
              <w:rPr>
                <w:szCs w:val="21"/>
              </w:rPr>
            </w:pPr>
            <w:r>
              <w:rPr>
                <w:szCs w:val="21"/>
              </w:rPr>
              <w:t>0.006%</w:t>
            </w:r>
          </w:p>
        </w:tc>
        <w:tc>
          <w:tcPr>
            <w:tcW w:w="1845" w:type="dxa"/>
            <w:vAlign w:val="center"/>
          </w:tcPr>
          <w:p>
            <w:pPr>
              <w:spacing w:line="240" w:lineRule="auto"/>
              <w:jc w:val="center"/>
              <w:rPr>
                <w:szCs w:val="21"/>
              </w:rPr>
            </w:pPr>
            <w:r>
              <w:rPr>
                <w:szCs w:val="21"/>
              </w:rPr>
              <w:t>0.006%</w:t>
            </w:r>
          </w:p>
        </w:tc>
        <w:tc>
          <w:tcPr>
            <w:tcW w:w="1846" w:type="dxa"/>
            <w:vAlign w:val="center"/>
          </w:tcPr>
          <w:p>
            <w:pPr>
              <w:spacing w:line="240" w:lineRule="auto"/>
              <w:jc w:val="center"/>
              <w:rPr>
                <w:szCs w:val="21"/>
              </w:rPr>
            </w:pPr>
            <w:r>
              <w:rPr>
                <w:szCs w:val="21"/>
              </w:rPr>
              <w:t>0.006%</w:t>
            </w:r>
          </w:p>
        </w:tc>
      </w:tr>
    </w:tbl>
    <w:p>
      <w:pPr>
        <w:tabs>
          <w:tab w:val="clear" w:pos="426"/>
        </w:tabs>
        <w:ind w:left="424" w:leftChars="202" w:firstLine="440" w:firstLineChars="200"/>
        <w:rPr>
          <w:sz w:val="22"/>
        </w:rPr>
      </w:pPr>
      <w:r>
        <w:rPr>
          <w:rFonts w:hint="eastAsia"/>
          <w:sz w:val="22"/>
        </w:rPr>
        <w:t>以某</w:t>
      </w:r>
      <w:r>
        <w:rPr>
          <w:sz w:val="22"/>
        </w:rPr>
        <w:t>500万项目货物类招标为例：</w:t>
      </w:r>
    </w:p>
    <w:p>
      <w:pPr>
        <w:tabs>
          <w:tab w:val="clear" w:pos="426"/>
        </w:tabs>
        <w:ind w:left="424" w:leftChars="202" w:firstLine="440" w:firstLineChars="200"/>
        <w:rPr>
          <w:sz w:val="22"/>
        </w:rPr>
      </w:pPr>
      <w:r>
        <w:rPr>
          <w:rFonts w:hint="eastAsia"/>
          <w:sz w:val="22"/>
        </w:rPr>
        <w:t>计算基准价</w:t>
      </w:r>
      <w:r>
        <w:rPr>
          <w:sz w:val="22"/>
        </w:rPr>
        <w:t>为</w:t>
      </w:r>
      <w:r>
        <w:rPr>
          <w:rFonts w:hint="eastAsia"/>
          <w:sz w:val="22"/>
        </w:rPr>
        <w:t>中标价</w:t>
      </w:r>
      <w:r>
        <w:rPr>
          <w:sz w:val="22"/>
        </w:rPr>
        <w:t>500万元，则招标代理</w:t>
      </w:r>
      <w:r>
        <w:rPr>
          <w:rFonts w:hint="eastAsia"/>
          <w:sz w:val="22"/>
        </w:rPr>
        <w:t>服务</w:t>
      </w:r>
      <w:r>
        <w:rPr>
          <w:sz w:val="22"/>
        </w:rPr>
        <w:t>费计算为：</w:t>
      </w:r>
    </w:p>
    <w:p>
      <w:pPr>
        <w:tabs>
          <w:tab w:val="clear" w:pos="426"/>
        </w:tabs>
        <w:ind w:left="424" w:leftChars="202" w:firstLine="440" w:firstLineChars="200"/>
        <w:rPr>
          <w:sz w:val="22"/>
        </w:rPr>
      </w:pPr>
      <w:r>
        <w:rPr>
          <w:sz w:val="22"/>
        </w:rPr>
        <w:t xml:space="preserve">100万元×1.5%=1.5万元   </w:t>
      </w:r>
    </w:p>
    <w:p>
      <w:pPr>
        <w:tabs>
          <w:tab w:val="clear" w:pos="426"/>
        </w:tabs>
        <w:ind w:left="424" w:leftChars="202" w:firstLine="440" w:firstLineChars="200"/>
        <w:rPr>
          <w:sz w:val="22"/>
        </w:rPr>
      </w:pPr>
      <w:r>
        <w:rPr>
          <w:rFonts w:hint="eastAsia"/>
          <w:sz w:val="22"/>
        </w:rPr>
        <w:t>（</w:t>
      </w:r>
      <w:r>
        <w:rPr>
          <w:sz w:val="22"/>
        </w:rPr>
        <w:t>500-100）万元×1.1%=4.4</w:t>
      </w:r>
      <w:r>
        <w:rPr>
          <w:rFonts w:hint="eastAsia"/>
          <w:sz w:val="22"/>
        </w:rPr>
        <w:t>万元</w:t>
      </w:r>
      <w:r>
        <w:rPr>
          <w:sz w:val="22"/>
        </w:rPr>
        <w:t xml:space="preserve"> </w:t>
      </w:r>
    </w:p>
    <w:p>
      <w:pPr>
        <w:tabs>
          <w:tab w:val="clear" w:pos="426"/>
        </w:tabs>
        <w:ind w:left="424" w:leftChars="202" w:firstLine="440" w:firstLineChars="200"/>
        <w:rPr>
          <w:sz w:val="22"/>
        </w:rPr>
      </w:pPr>
      <w:r>
        <w:rPr>
          <w:rFonts w:hint="eastAsia"/>
          <w:sz w:val="22"/>
        </w:rPr>
        <w:t>因此，招标代理服务费为：（</w:t>
      </w:r>
      <w:r>
        <w:rPr>
          <w:sz w:val="22"/>
        </w:rPr>
        <w:t>1.5+4.4</w:t>
      </w:r>
      <w:r>
        <w:rPr>
          <w:rFonts w:hint="eastAsia"/>
          <w:sz w:val="22"/>
        </w:rPr>
        <w:t>）×（1-20%）</w:t>
      </w:r>
      <w:r>
        <w:rPr>
          <w:sz w:val="22"/>
        </w:rPr>
        <w:t>=</w:t>
      </w:r>
      <w:r>
        <w:rPr>
          <w:rFonts w:hint="eastAsia"/>
          <w:sz w:val="22"/>
        </w:rPr>
        <w:t>4.8万元。</w:t>
      </w:r>
    </w:p>
    <w:p>
      <w:pPr>
        <w:shd w:val="clear" w:color="auto" w:fill="auto"/>
        <w:tabs>
          <w:tab w:val="clear" w:pos="426"/>
        </w:tabs>
        <w:adjustRightInd/>
        <w:snapToGrid/>
        <w:spacing w:line="240" w:lineRule="auto"/>
        <w:jc w:val="left"/>
        <w:rPr>
          <w:rFonts w:ascii="Arial" w:hAnsi="Arial" w:cs="Times New Roman"/>
          <w:bCs/>
          <w:kern w:val="2"/>
          <w:sz w:val="36"/>
          <w:szCs w:val="32"/>
        </w:rPr>
      </w:pPr>
    </w:p>
    <w:sectPr>
      <w:headerReference r:id="rId9" w:type="first"/>
      <w:footerReference r:id="rId11" w:type="first"/>
      <w:headerReference r:id="rId8" w:type="default"/>
      <w:footerReference r:id="rId10" w:type="default"/>
      <w:pgSz w:w="11906" w:h="16838"/>
      <w:pgMar w:top="1134" w:right="1134" w:bottom="1134" w:left="1418" w:header="851" w:footer="992" w:gutter="0"/>
      <w:pgNumType w:start="1"/>
      <w:cols w:space="720" w:num="1"/>
      <w:titlePg/>
      <w:docGrid w:type="lines"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3E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00"/>
    <w:family w:val="modern"/>
    <w:pitch w:val="default"/>
    <w:sig w:usb0="00000000" w:usb1="00000000" w:usb2="00000010" w:usb3="00000000" w:csb0="00040000" w:csb1="00000000"/>
  </w:font>
  <w:font w:name="文鼎粗黑">
    <w:altName w:val="黑体"/>
    <w:panose1 w:val="00000000000000000000"/>
    <w:charset w:val="00"/>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仿宋体">
    <w:altName w:val="仿宋"/>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rPr>
        <w:rStyle w:val="133"/>
      </w:rPr>
    </w:pPr>
    <w:r>
      <w:fldChar w:fldCharType="begin"/>
    </w:r>
    <w:r>
      <w:rPr>
        <w:rStyle w:val="133"/>
      </w:rPr>
      <w:instrText xml:space="preserve">PAGE  </w:instrText>
    </w:r>
    <w:r>
      <w:fldChar w:fldCharType="separate"/>
    </w:r>
    <w:r>
      <w:rPr>
        <w:rStyle w:val="133"/>
      </w:rPr>
      <w:t>65</w:t>
    </w:r>
    <w:r>
      <w:fldChar w:fldCharType="end"/>
    </w:r>
  </w:p>
  <w:p>
    <w:pPr>
      <w:pStyle w:val="5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4"/>
                            <w:jc w:val="center"/>
                          </w:pPr>
                          <w:r>
                            <w:fldChar w:fldCharType="begin"/>
                          </w:r>
                          <w:r>
                            <w:instrText xml:space="preserve"> PAGE   \* MERGEFORMAT </w:instrText>
                          </w:r>
                          <w:r>
                            <w:fldChar w:fldCharType="separate"/>
                          </w:r>
                          <w:r>
                            <w:rPr>
                              <w:lang w:val="zh-CN"/>
                            </w:rPr>
                            <w:t>67</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54"/>
                      <w:jc w:val="center"/>
                    </w:pPr>
                    <w:r>
                      <w:fldChar w:fldCharType="begin"/>
                    </w:r>
                    <w:r>
                      <w:instrText xml:space="preserve"> PAGE   \* MERGEFORMAT </w:instrText>
                    </w:r>
                    <w:r>
                      <w:fldChar w:fldCharType="separate"/>
                    </w:r>
                    <w:r>
                      <w:rPr>
                        <w:lang w:val="zh-CN"/>
                      </w:rPr>
                      <w:t>67</w:t>
                    </w:r>
                    <w:r>
                      <w:rPr>
                        <w:lang w:val="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4"/>
                            <w:jc w:val="center"/>
                          </w:pPr>
                          <w:r>
                            <w:fldChar w:fldCharType="begin"/>
                          </w:r>
                          <w:r>
                            <w:instrText xml:space="preserve"> PAGE   \* MERGEFORMAT </w:instrText>
                          </w:r>
                          <w:r>
                            <w:fldChar w:fldCharType="separate"/>
                          </w:r>
                          <w:r>
                            <w:rPr>
                              <w:lang w:val="zh-CN"/>
                            </w:rPr>
                            <w:t>2</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54"/>
                      <w:jc w:val="center"/>
                    </w:pPr>
                    <w:r>
                      <w:fldChar w:fldCharType="begin"/>
                    </w:r>
                    <w:r>
                      <w:instrText xml:space="preserve"> PAGE   \* MERGEFORMAT </w:instrText>
                    </w:r>
                    <w:r>
                      <w:fldChar w:fldCharType="separate"/>
                    </w:r>
                    <w:r>
                      <w:rPr>
                        <w:lang w:val="zh-CN"/>
                      </w:rPr>
                      <w:t>2</w:t>
                    </w:r>
                    <w:r>
                      <w:rPr>
                        <w:lang w:val="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rPr>
        <w:rFonts w:hint="eastAsia"/>
      </w:rPr>
      <w:t>广东省深圳市宝安区消防救援大队2024年一级站(新建站)、二级站指挥调度系统设备购置项目-SSZX2024-345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rPr>
        <w:rFonts w:hint="eastAsia"/>
      </w:rPr>
      <w:t>广东省深圳市宝安区消防救援大队2024年一级站(新建站)、二级站指挥调度系统设备购置项目-SSZX2024-345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rPr>
        <w:rFonts w:hint="eastAsia"/>
      </w:rPr>
      <w:t>广东省深圳市宝安区消防救援大队2024年一级站(新建站)、二级站指挥调度系统设备购置项目-SSZX2024-345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rPr>
        <w:rFonts w:hint="eastAsia"/>
      </w:rPr>
      <w:t>广东省深圳市宝安区消防救援大队2024年一级站(新建站)、二级站指挥调度系统设备购置项目-SSZX2024-345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3F3F51"/>
    <w:multiLevelType w:val="multilevel"/>
    <w:tmpl w:val="0A3F3F51"/>
    <w:lvl w:ilvl="0" w:tentative="0">
      <w:start w:val="1"/>
      <w:numFmt w:val="chineseCountingThousand"/>
      <w:suff w:val="nothing"/>
      <w:lvlText w:val="%1、"/>
      <w:lvlJc w:val="left"/>
      <w:pPr>
        <w:ind w:left="3120" w:firstLine="0"/>
      </w:pPr>
      <w:rPr>
        <w:rFonts w:hint="eastAsia"/>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2FD7025"/>
    <w:multiLevelType w:val="multilevel"/>
    <w:tmpl w:val="22FD7025"/>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suff w:val="nothing"/>
      <w:lvlText w:val="%2."/>
      <w:lvlJc w:val="left"/>
      <w:pPr>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2DF849D3"/>
    <w:multiLevelType w:val="multilevel"/>
    <w:tmpl w:val="2DF849D3"/>
    <w:lvl w:ilvl="0" w:tentative="0">
      <w:start w:val="1"/>
      <w:numFmt w:val="chineseCountingThousand"/>
      <w:suff w:val="nothing"/>
      <w:lvlText w:val="%1、"/>
      <w:lvlJc w:val="left"/>
      <w:pPr>
        <w:ind w:left="420" w:hanging="420"/>
      </w:pPr>
      <w:rPr>
        <w:rFonts w:hint="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suff w:val="nothing"/>
      <w:lvlText w:val="%2．"/>
      <w:lvlJc w:val="left"/>
      <w:pPr>
        <w:ind w:left="1616"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5">
    <w:nsid w:val="530CD5BE"/>
    <w:multiLevelType w:val="singleLevel"/>
    <w:tmpl w:val="530CD5BE"/>
    <w:lvl w:ilvl="0" w:tentative="0">
      <w:start w:val="9"/>
      <w:numFmt w:val="decimal"/>
      <w:lvlText w:val="%1."/>
      <w:lvlJc w:val="left"/>
      <w:pPr>
        <w:tabs>
          <w:tab w:val="left" w:pos="312"/>
        </w:tabs>
      </w:pPr>
    </w:lvl>
  </w:abstractNum>
  <w:abstractNum w:abstractNumId="6">
    <w:nsid w:val="64253DA1"/>
    <w:multiLevelType w:val="multilevel"/>
    <w:tmpl w:val="64253DA1"/>
    <w:lvl w:ilvl="0" w:tentative="0">
      <w:start w:val="1"/>
      <w:numFmt w:val="decimal"/>
      <w:suff w:val="nothing"/>
      <w:lvlText w:val="%1"/>
      <w:lvlJc w:val="left"/>
      <w:pPr>
        <w:ind w:left="59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7">
    <w:nsid w:val="6C7D42E0"/>
    <w:multiLevelType w:val="multilevel"/>
    <w:tmpl w:val="6C7D42E0"/>
    <w:lvl w:ilvl="0" w:tentative="0">
      <w:start w:val="1"/>
      <w:numFmt w:val="decimal"/>
      <w:lvlText w:val="%1."/>
      <w:lvlJc w:val="left"/>
      <w:pPr>
        <w:ind w:left="420" w:hanging="420"/>
      </w:pPr>
      <w:rPr>
        <w:rFonts w:hint="eastAsia"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34F656C"/>
    <w:multiLevelType w:val="multilevel"/>
    <w:tmpl w:val="734F656C"/>
    <w:lvl w:ilvl="0" w:tentative="0">
      <w:start w:val="1"/>
      <w:numFmt w:val="decimal"/>
      <w:suff w:val="nothing"/>
      <w:lvlText w:val="%1"/>
      <w:lvlJc w:val="left"/>
      <w:pPr>
        <w:ind w:left="6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6"/>
  </w:num>
  <w:num w:numId="3">
    <w:abstractNumId w:val="3"/>
  </w:num>
  <w:num w:numId="4">
    <w:abstractNumId w:val="5"/>
  </w:num>
  <w:num w:numId="5">
    <w:abstractNumId w:val="0"/>
  </w:num>
  <w:num w:numId="6">
    <w:abstractNumId w:val="1"/>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4NzIwNzA4ZTJjN2M2YzAzODJmMmZmNWFlZjU1OTAifQ=="/>
  </w:docVars>
  <w:rsids>
    <w:rsidRoot w:val="006C5683"/>
    <w:rsid w:val="0000037F"/>
    <w:rsid w:val="000006B9"/>
    <w:rsid w:val="00000915"/>
    <w:rsid w:val="00000941"/>
    <w:rsid w:val="00000AFB"/>
    <w:rsid w:val="00000DA4"/>
    <w:rsid w:val="0000145B"/>
    <w:rsid w:val="0000159C"/>
    <w:rsid w:val="00001AEA"/>
    <w:rsid w:val="00001CE0"/>
    <w:rsid w:val="00002054"/>
    <w:rsid w:val="000020FF"/>
    <w:rsid w:val="00002F93"/>
    <w:rsid w:val="00002F9F"/>
    <w:rsid w:val="00003526"/>
    <w:rsid w:val="000036F7"/>
    <w:rsid w:val="000038EB"/>
    <w:rsid w:val="00003B2E"/>
    <w:rsid w:val="00003CC2"/>
    <w:rsid w:val="00004225"/>
    <w:rsid w:val="00004251"/>
    <w:rsid w:val="0000427C"/>
    <w:rsid w:val="0000488C"/>
    <w:rsid w:val="00004952"/>
    <w:rsid w:val="000049E7"/>
    <w:rsid w:val="00005215"/>
    <w:rsid w:val="00005A10"/>
    <w:rsid w:val="00005AB7"/>
    <w:rsid w:val="00005AFC"/>
    <w:rsid w:val="00006D66"/>
    <w:rsid w:val="00007123"/>
    <w:rsid w:val="000073A7"/>
    <w:rsid w:val="000078FF"/>
    <w:rsid w:val="00007B76"/>
    <w:rsid w:val="00007FCD"/>
    <w:rsid w:val="00010102"/>
    <w:rsid w:val="00010A6F"/>
    <w:rsid w:val="000111B4"/>
    <w:rsid w:val="0001175B"/>
    <w:rsid w:val="0001231B"/>
    <w:rsid w:val="000124E2"/>
    <w:rsid w:val="0001275D"/>
    <w:rsid w:val="000128AD"/>
    <w:rsid w:val="00012C0A"/>
    <w:rsid w:val="00013044"/>
    <w:rsid w:val="0001325A"/>
    <w:rsid w:val="00014018"/>
    <w:rsid w:val="00014026"/>
    <w:rsid w:val="00014AA6"/>
    <w:rsid w:val="00014E10"/>
    <w:rsid w:val="00014F58"/>
    <w:rsid w:val="000151D5"/>
    <w:rsid w:val="00015433"/>
    <w:rsid w:val="000154D8"/>
    <w:rsid w:val="00015968"/>
    <w:rsid w:val="00015E98"/>
    <w:rsid w:val="0001634A"/>
    <w:rsid w:val="00016D58"/>
    <w:rsid w:val="00016ED5"/>
    <w:rsid w:val="00017112"/>
    <w:rsid w:val="0001716B"/>
    <w:rsid w:val="000177C0"/>
    <w:rsid w:val="0001792D"/>
    <w:rsid w:val="0001794C"/>
    <w:rsid w:val="00017B76"/>
    <w:rsid w:val="00020321"/>
    <w:rsid w:val="000211EA"/>
    <w:rsid w:val="000218B0"/>
    <w:rsid w:val="000219CE"/>
    <w:rsid w:val="00021B1A"/>
    <w:rsid w:val="00022196"/>
    <w:rsid w:val="0002253B"/>
    <w:rsid w:val="00022548"/>
    <w:rsid w:val="00022E19"/>
    <w:rsid w:val="000233D6"/>
    <w:rsid w:val="000234B2"/>
    <w:rsid w:val="0002382E"/>
    <w:rsid w:val="0002401D"/>
    <w:rsid w:val="000244E1"/>
    <w:rsid w:val="000245FE"/>
    <w:rsid w:val="000246D4"/>
    <w:rsid w:val="000252D1"/>
    <w:rsid w:val="00025673"/>
    <w:rsid w:val="00025E39"/>
    <w:rsid w:val="00026A09"/>
    <w:rsid w:val="00026CAC"/>
    <w:rsid w:val="00027F8E"/>
    <w:rsid w:val="0003072D"/>
    <w:rsid w:val="000308B1"/>
    <w:rsid w:val="0003148B"/>
    <w:rsid w:val="00031700"/>
    <w:rsid w:val="00031E25"/>
    <w:rsid w:val="00031F18"/>
    <w:rsid w:val="00031F6E"/>
    <w:rsid w:val="00032001"/>
    <w:rsid w:val="00032090"/>
    <w:rsid w:val="000325A7"/>
    <w:rsid w:val="00032926"/>
    <w:rsid w:val="00033051"/>
    <w:rsid w:val="00033725"/>
    <w:rsid w:val="0003373D"/>
    <w:rsid w:val="000339DE"/>
    <w:rsid w:val="00033B7B"/>
    <w:rsid w:val="00034973"/>
    <w:rsid w:val="00034B41"/>
    <w:rsid w:val="00034D82"/>
    <w:rsid w:val="0003503F"/>
    <w:rsid w:val="0003509A"/>
    <w:rsid w:val="00035A53"/>
    <w:rsid w:val="00035D7E"/>
    <w:rsid w:val="0003617B"/>
    <w:rsid w:val="000372DD"/>
    <w:rsid w:val="000377F6"/>
    <w:rsid w:val="00037F52"/>
    <w:rsid w:val="00037F54"/>
    <w:rsid w:val="0004000A"/>
    <w:rsid w:val="00040A4B"/>
    <w:rsid w:val="00040D3C"/>
    <w:rsid w:val="0004120F"/>
    <w:rsid w:val="00041611"/>
    <w:rsid w:val="00041A75"/>
    <w:rsid w:val="00041B72"/>
    <w:rsid w:val="00041B9A"/>
    <w:rsid w:val="00041BD2"/>
    <w:rsid w:val="00041E1A"/>
    <w:rsid w:val="00041E58"/>
    <w:rsid w:val="000423A2"/>
    <w:rsid w:val="00042BE4"/>
    <w:rsid w:val="00042CE2"/>
    <w:rsid w:val="00043131"/>
    <w:rsid w:val="0004348E"/>
    <w:rsid w:val="00043A89"/>
    <w:rsid w:val="00043C31"/>
    <w:rsid w:val="00044204"/>
    <w:rsid w:val="00044591"/>
    <w:rsid w:val="00044926"/>
    <w:rsid w:val="00044A73"/>
    <w:rsid w:val="00045739"/>
    <w:rsid w:val="00045AD6"/>
    <w:rsid w:val="00046354"/>
    <w:rsid w:val="00046767"/>
    <w:rsid w:val="0004790E"/>
    <w:rsid w:val="00050F3E"/>
    <w:rsid w:val="000510B6"/>
    <w:rsid w:val="00051D3E"/>
    <w:rsid w:val="00051F3F"/>
    <w:rsid w:val="0005204E"/>
    <w:rsid w:val="00052324"/>
    <w:rsid w:val="00052798"/>
    <w:rsid w:val="00052BC1"/>
    <w:rsid w:val="0005365D"/>
    <w:rsid w:val="00053715"/>
    <w:rsid w:val="0005381C"/>
    <w:rsid w:val="000538BE"/>
    <w:rsid w:val="000539E2"/>
    <w:rsid w:val="00053A25"/>
    <w:rsid w:val="00055013"/>
    <w:rsid w:val="00055256"/>
    <w:rsid w:val="000557BC"/>
    <w:rsid w:val="0005582B"/>
    <w:rsid w:val="00055C4B"/>
    <w:rsid w:val="000566D1"/>
    <w:rsid w:val="0005677F"/>
    <w:rsid w:val="00056E39"/>
    <w:rsid w:val="00057332"/>
    <w:rsid w:val="0005740C"/>
    <w:rsid w:val="000601F6"/>
    <w:rsid w:val="000602D1"/>
    <w:rsid w:val="0006039A"/>
    <w:rsid w:val="00060DD9"/>
    <w:rsid w:val="00060E5A"/>
    <w:rsid w:val="0006171E"/>
    <w:rsid w:val="00061BBA"/>
    <w:rsid w:val="00061DCB"/>
    <w:rsid w:val="0006267A"/>
    <w:rsid w:val="0006271F"/>
    <w:rsid w:val="00062882"/>
    <w:rsid w:val="00062B74"/>
    <w:rsid w:val="00062BA0"/>
    <w:rsid w:val="00062C42"/>
    <w:rsid w:val="00063131"/>
    <w:rsid w:val="000638E3"/>
    <w:rsid w:val="00063A79"/>
    <w:rsid w:val="00063CD3"/>
    <w:rsid w:val="00063F40"/>
    <w:rsid w:val="00063FD9"/>
    <w:rsid w:val="000651BC"/>
    <w:rsid w:val="00065E3F"/>
    <w:rsid w:val="0006640B"/>
    <w:rsid w:val="0006670C"/>
    <w:rsid w:val="00066EA8"/>
    <w:rsid w:val="00066EF6"/>
    <w:rsid w:val="0006703A"/>
    <w:rsid w:val="00067390"/>
    <w:rsid w:val="00067A02"/>
    <w:rsid w:val="00067B7F"/>
    <w:rsid w:val="00067D5E"/>
    <w:rsid w:val="00070409"/>
    <w:rsid w:val="0007051D"/>
    <w:rsid w:val="00070736"/>
    <w:rsid w:val="00070929"/>
    <w:rsid w:val="000709E4"/>
    <w:rsid w:val="00071CDD"/>
    <w:rsid w:val="0007261A"/>
    <w:rsid w:val="00072D8F"/>
    <w:rsid w:val="00072DD1"/>
    <w:rsid w:val="0007310B"/>
    <w:rsid w:val="00073180"/>
    <w:rsid w:val="000732C9"/>
    <w:rsid w:val="00073E77"/>
    <w:rsid w:val="000740B8"/>
    <w:rsid w:val="0007455E"/>
    <w:rsid w:val="000750DC"/>
    <w:rsid w:val="0007542D"/>
    <w:rsid w:val="000757DD"/>
    <w:rsid w:val="00075C4A"/>
    <w:rsid w:val="00076BF2"/>
    <w:rsid w:val="00077188"/>
    <w:rsid w:val="00077784"/>
    <w:rsid w:val="00080925"/>
    <w:rsid w:val="0008103C"/>
    <w:rsid w:val="00081A6E"/>
    <w:rsid w:val="000820FF"/>
    <w:rsid w:val="00082667"/>
    <w:rsid w:val="00082B2F"/>
    <w:rsid w:val="00082DBC"/>
    <w:rsid w:val="00083AAF"/>
    <w:rsid w:val="00083DA4"/>
    <w:rsid w:val="00083DC6"/>
    <w:rsid w:val="000840C5"/>
    <w:rsid w:val="00085023"/>
    <w:rsid w:val="00085592"/>
    <w:rsid w:val="00085624"/>
    <w:rsid w:val="00085B5B"/>
    <w:rsid w:val="00085C04"/>
    <w:rsid w:val="00085D12"/>
    <w:rsid w:val="000862AC"/>
    <w:rsid w:val="000864B8"/>
    <w:rsid w:val="000869D8"/>
    <w:rsid w:val="00086B77"/>
    <w:rsid w:val="00086C4F"/>
    <w:rsid w:val="0008735D"/>
    <w:rsid w:val="00087A08"/>
    <w:rsid w:val="00087C7C"/>
    <w:rsid w:val="00091179"/>
    <w:rsid w:val="00091337"/>
    <w:rsid w:val="0009141A"/>
    <w:rsid w:val="000915F3"/>
    <w:rsid w:val="00091657"/>
    <w:rsid w:val="000924E5"/>
    <w:rsid w:val="00092590"/>
    <w:rsid w:val="0009269A"/>
    <w:rsid w:val="000927D9"/>
    <w:rsid w:val="00092CD0"/>
    <w:rsid w:val="00092FC7"/>
    <w:rsid w:val="00093003"/>
    <w:rsid w:val="00093890"/>
    <w:rsid w:val="00093C08"/>
    <w:rsid w:val="0009421D"/>
    <w:rsid w:val="000946EC"/>
    <w:rsid w:val="00094EB7"/>
    <w:rsid w:val="000950A7"/>
    <w:rsid w:val="000951B4"/>
    <w:rsid w:val="00095480"/>
    <w:rsid w:val="000954D5"/>
    <w:rsid w:val="00095596"/>
    <w:rsid w:val="00095778"/>
    <w:rsid w:val="00095A25"/>
    <w:rsid w:val="0009618D"/>
    <w:rsid w:val="000961F2"/>
    <w:rsid w:val="0009639D"/>
    <w:rsid w:val="0009709B"/>
    <w:rsid w:val="0009778F"/>
    <w:rsid w:val="000A0441"/>
    <w:rsid w:val="000A0B8E"/>
    <w:rsid w:val="000A0BF6"/>
    <w:rsid w:val="000A1206"/>
    <w:rsid w:val="000A21E9"/>
    <w:rsid w:val="000A28A6"/>
    <w:rsid w:val="000A2927"/>
    <w:rsid w:val="000A2C6D"/>
    <w:rsid w:val="000A48A7"/>
    <w:rsid w:val="000A599B"/>
    <w:rsid w:val="000A6726"/>
    <w:rsid w:val="000A6BCB"/>
    <w:rsid w:val="000A6EE8"/>
    <w:rsid w:val="000A6F39"/>
    <w:rsid w:val="000A756F"/>
    <w:rsid w:val="000A7726"/>
    <w:rsid w:val="000B0094"/>
    <w:rsid w:val="000B05E2"/>
    <w:rsid w:val="000B0E71"/>
    <w:rsid w:val="000B11E0"/>
    <w:rsid w:val="000B1345"/>
    <w:rsid w:val="000B2311"/>
    <w:rsid w:val="000B2568"/>
    <w:rsid w:val="000B2BAE"/>
    <w:rsid w:val="000B2BB0"/>
    <w:rsid w:val="000B381C"/>
    <w:rsid w:val="000B41A9"/>
    <w:rsid w:val="000B428A"/>
    <w:rsid w:val="000B44C8"/>
    <w:rsid w:val="000B4591"/>
    <w:rsid w:val="000B4777"/>
    <w:rsid w:val="000B4988"/>
    <w:rsid w:val="000B49C5"/>
    <w:rsid w:val="000B5447"/>
    <w:rsid w:val="000B56CC"/>
    <w:rsid w:val="000B6961"/>
    <w:rsid w:val="000B69EB"/>
    <w:rsid w:val="000B6B59"/>
    <w:rsid w:val="000B6DE4"/>
    <w:rsid w:val="000B73D3"/>
    <w:rsid w:val="000B76A8"/>
    <w:rsid w:val="000B7ABC"/>
    <w:rsid w:val="000B7AF7"/>
    <w:rsid w:val="000C0173"/>
    <w:rsid w:val="000C0559"/>
    <w:rsid w:val="000C0D71"/>
    <w:rsid w:val="000C1B03"/>
    <w:rsid w:val="000C1C71"/>
    <w:rsid w:val="000C1EE4"/>
    <w:rsid w:val="000C2446"/>
    <w:rsid w:val="000C24BB"/>
    <w:rsid w:val="000C2FC5"/>
    <w:rsid w:val="000C3360"/>
    <w:rsid w:val="000C3497"/>
    <w:rsid w:val="000C3C43"/>
    <w:rsid w:val="000C3D9C"/>
    <w:rsid w:val="000C4198"/>
    <w:rsid w:val="000C427C"/>
    <w:rsid w:val="000C4425"/>
    <w:rsid w:val="000C4518"/>
    <w:rsid w:val="000C5044"/>
    <w:rsid w:val="000C536D"/>
    <w:rsid w:val="000C580F"/>
    <w:rsid w:val="000C587B"/>
    <w:rsid w:val="000C5F59"/>
    <w:rsid w:val="000C61EA"/>
    <w:rsid w:val="000C644F"/>
    <w:rsid w:val="000C6975"/>
    <w:rsid w:val="000C6AF5"/>
    <w:rsid w:val="000C6BA7"/>
    <w:rsid w:val="000C6F2D"/>
    <w:rsid w:val="000C70F7"/>
    <w:rsid w:val="000C7C4C"/>
    <w:rsid w:val="000C7CA5"/>
    <w:rsid w:val="000C7D81"/>
    <w:rsid w:val="000C7E7E"/>
    <w:rsid w:val="000D1055"/>
    <w:rsid w:val="000D1275"/>
    <w:rsid w:val="000D12AA"/>
    <w:rsid w:val="000D1330"/>
    <w:rsid w:val="000D1A7D"/>
    <w:rsid w:val="000D1D09"/>
    <w:rsid w:val="000D2309"/>
    <w:rsid w:val="000D2390"/>
    <w:rsid w:val="000D23AD"/>
    <w:rsid w:val="000D2C15"/>
    <w:rsid w:val="000D350D"/>
    <w:rsid w:val="000D35B7"/>
    <w:rsid w:val="000D38F9"/>
    <w:rsid w:val="000D40F0"/>
    <w:rsid w:val="000D41F0"/>
    <w:rsid w:val="000D495E"/>
    <w:rsid w:val="000D4CFC"/>
    <w:rsid w:val="000D4E09"/>
    <w:rsid w:val="000D53B3"/>
    <w:rsid w:val="000D5864"/>
    <w:rsid w:val="000D58D2"/>
    <w:rsid w:val="000D5DD9"/>
    <w:rsid w:val="000D6197"/>
    <w:rsid w:val="000D695F"/>
    <w:rsid w:val="000D6AF1"/>
    <w:rsid w:val="000D6DA4"/>
    <w:rsid w:val="000D77FE"/>
    <w:rsid w:val="000E0040"/>
    <w:rsid w:val="000E01F1"/>
    <w:rsid w:val="000E0227"/>
    <w:rsid w:val="000E0239"/>
    <w:rsid w:val="000E065D"/>
    <w:rsid w:val="000E0885"/>
    <w:rsid w:val="000E11AB"/>
    <w:rsid w:val="000E121E"/>
    <w:rsid w:val="000E14A4"/>
    <w:rsid w:val="000E14C6"/>
    <w:rsid w:val="000E166A"/>
    <w:rsid w:val="000E1C23"/>
    <w:rsid w:val="000E2F34"/>
    <w:rsid w:val="000E301B"/>
    <w:rsid w:val="000E34E1"/>
    <w:rsid w:val="000E41C0"/>
    <w:rsid w:val="000E42AA"/>
    <w:rsid w:val="000E4687"/>
    <w:rsid w:val="000E48ED"/>
    <w:rsid w:val="000E49EB"/>
    <w:rsid w:val="000E4DE8"/>
    <w:rsid w:val="000E4E9A"/>
    <w:rsid w:val="000E60B2"/>
    <w:rsid w:val="000E62FD"/>
    <w:rsid w:val="000E6681"/>
    <w:rsid w:val="000E69FE"/>
    <w:rsid w:val="000E6C5E"/>
    <w:rsid w:val="000E6C9A"/>
    <w:rsid w:val="000E6DB4"/>
    <w:rsid w:val="000E6EC0"/>
    <w:rsid w:val="000E7D2D"/>
    <w:rsid w:val="000F0265"/>
    <w:rsid w:val="000F0AB8"/>
    <w:rsid w:val="000F10F7"/>
    <w:rsid w:val="000F179C"/>
    <w:rsid w:val="000F1DD5"/>
    <w:rsid w:val="000F1FA3"/>
    <w:rsid w:val="000F2065"/>
    <w:rsid w:val="000F2359"/>
    <w:rsid w:val="000F2A88"/>
    <w:rsid w:val="000F2D1B"/>
    <w:rsid w:val="000F353A"/>
    <w:rsid w:val="000F3A80"/>
    <w:rsid w:val="000F3ADB"/>
    <w:rsid w:val="000F3FA1"/>
    <w:rsid w:val="000F4351"/>
    <w:rsid w:val="000F4752"/>
    <w:rsid w:val="000F48D9"/>
    <w:rsid w:val="000F4A59"/>
    <w:rsid w:val="000F4B7E"/>
    <w:rsid w:val="000F4E82"/>
    <w:rsid w:val="000F51DA"/>
    <w:rsid w:val="000F5577"/>
    <w:rsid w:val="000F565B"/>
    <w:rsid w:val="000F57BF"/>
    <w:rsid w:val="000F5F3F"/>
    <w:rsid w:val="000F67AA"/>
    <w:rsid w:val="000F7ACE"/>
    <w:rsid w:val="001005C3"/>
    <w:rsid w:val="00100844"/>
    <w:rsid w:val="001018E7"/>
    <w:rsid w:val="00101C3F"/>
    <w:rsid w:val="00101DD0"/>
    <w:rsid w:val="00102555"/>
    <w:rsid w:val="00102F06"/>
    <w:rsid w:val="00103D3E"/>
    <w:rsid w:val="00103DFC"/>
    <w:rsid w:val="00103ECC"/>
    <w:rsid w:val="001047E8"/>
    <w:rsid w:val="00104B2A"/>
    <w:rsid w:val="00104F15"/>
    <w:rsid w:val="001051A9"/>
    <w:rsid w:val="00105523"/>
    <w:rsid w:val="00105B3E"/>
    <w:rsid w:val="00105B99"/>
    <w:rsid w:val="00105BA0"/>
    <w:rsid w:val="001061D3"/>
    <w:rsid w:val="00106748"/>
    <w:rsid w:val="0010723E"/>
    <w:rsid w:val="001075B1"/>
    <w:rsid w:val="00107D54"/>
    <w:rsid w:val="00110079"/>
    <w:rsid w:val="00110173"/>
    <w:rsid w:val="00110A90"/>
    <w:rsid w:val="00110CD5"/>
    <w:rsid w:val="0011108B"/>
    <w:rsid w:val="001111F7"/>
    <w:rsid w:val="00111A14"/>
    <w:rsid w:val="00111D0E"/>
    <w:rsid w:val="001138DA"/>
    <w:rsid w:val="00115711"/>
    <w:rsid w:val="0011585F"/>
    <w:rsid w:val="00115973"/>
    <w:rsid w:val="00115A55"/>
    <w:rsid w:val="00115AD7"/>
    <w:rsid w:val="00116971"/>
    <w:rsid w:val="001172D4"/>
    <w:rsid w:val="00117316"/>
    <w:rsid w:val="00117A19"/>
    <w:rsid w:val="00117E2F"/>
    <w:rsid w:val="00120010"/>
    <w:rsid w:val="001205E7"/>
    <w:rsid w:val="001208AF"/>
    <w:rsid w:val="00120A84"/>
    <w:rsid w:val="001212EF"/>
    <w:rsid w:val="001213CE"/>
    <w:rsid w:val="001215C5"/>
    <w:rsid w:val="001217DC"/>
    <w:rsid w:val="00121AA9"/>
    <w:rsid w:val="0012203F"/>
    <w:rsid w:val="00122238"/>
    <w:rsid w:val="00122873"/>
    <w:rsid w:val="0012293C"/>
    <w:rsid w:val="00122EAA"/>
    <w:rsid w:val="00122FA1"/>
    <w:rsid w:val="00123243"/>
    <w:rsid w:val="00123987"/>
    <w:rsid w:val="00123CC6"/>
    <w:rsid w:val="001241FC"/>
    <w:rsid w:val="00124A28"/>
    <w:rsid w:val="00124E97"/>
    <w:rsid w:val="00125200"/>
    <w:rsid w:val="00125202"/>
    <w:rsid w:val="00125B11"/>
    <w:rsid w:val="00125C68"/>
    <w:rsid w:val="00125C8A"/>
    <w:rsid w:val="00125CF2"/>
    <w:rsid w:val="00125E74"/>
    <w:rsid w:val="00126080"/>
    <w:rsid w:val="001264D8"/>
    <w:rsid w:val="00126813"/>
    <w:rsid w:val="00126953"/>
    <w:rsid w:val="00126AD5"/>
    <w:rsid w:val="00126C43"/>
    <w:rsid w:val="00126EEB"/>
    <w:rsid w:val="00127777"/>
    <w:rsid w:val="00127A00"/>
    <w:rsid w:val="00127AD2"/>
    <w:rsid w:val="001301B7"/>
    <w:rsid w:val="0013053B"/>
    <w:rsid w:val="001305BF"/>
    <w:rsid w:val="0013063B"/>
    <w:rsid w:val="001307D9"/>
    <w:rsid w:val="00130827"/>
    <w:rsid w:val="001308A2"/>
    <w:rsid w:val="00130C56"/>
    <w:rsid w:val="0013138B"/>
    <w:rsid w:val="00131668"/>
    <w:rsid w:val="001319AB"/>
    <w:rsid w:val="00131E17"/>
    <w:rsid w:val="001321FC"/>
    <w:rsid w:val="0013288F"/>
    <w:rsid w:val="00132F55"/>
    <w:rsid w:val="00132FAF"/>
    <w:rsid w:val="001330B3"/>
    <w:rsid w:val="001333A3"/>
    <w:rsid w:val="00133517"/>
    <w:rsid w:val="00133559"/>
    <w:rsid w:val="00133D2B"/>
    <w:rsid w:val="00133F4C"/>
    <w:rsid w:val="001342FB"/>
    <w:rsid w:val="00134374"/>
    <w:rsid w:val="001343C8"/>
    <w:rsid w:val="001346A2"/>
    <w:rsid w:val="001348BB"/>
    <w:rsid w:val="00134AF9"/>
    <w:rsid w:val="00134B47"/>
    <w:rsid w:val="00134B53"/>
    <w:rsid w:val="00134C5F"/>
    <w:rsid w:val="00134D6D"/>
    <w:rsid w:val="00135640"/>
    <w:rsid w:val="00136467"/>
    <w:rsid w:val="00136543"/>
    <w:rsid w:val="00136D6B"/>
    <w:rsid w:val="0014046D"/>
    <w:rsid w:val="00140645"/>
    <w:rsid w:val="0014143D"/>
    <w:rsid w:val="00142838"/>
    <w:rsid w:val="00143282"/>
    <w:rsid w:val="00143653"/>
    <w:rsid w:val="0014396D"/>
    <w:rsid w:val="00143B3A"/>
    <w:rsid w:val="00144298"/>
    <w:rsid w:val="001446E6"/>
    <w:rsid w:val="0014521C"/>
    <w:rsid w:val="0014549B"/>
    <w:rsid w:val="00145601"/>
    <w:rsid w:val="001467D4"/>
    <w:rsid w:val="00146AE7"/>
    <w:rsid w:val="00147350"/>
    <w:rsid w:val="001474D5"/>
    <w:rsid w:val="00147AE8"/>
    <w:rsid w:val="00147B3F"/>
    <w:rsid w:val="00150829"/>
    <w:rsid w:val="00151AFE"/>
    <w:rsid w:val="00152070"/>
    <w:rsid w:val="001520F3"/>
    <w:rsid w:val="00152CBF"/>
    <w:rsid w:val="0015305A"/>
    <w:rsid w:val="001530CC"/>
    <w:rsid w:val="001530FC"/>
    <w:rsid w:val="00153212"/>
    <w:rsid w:val="00153237"/>
    <w:rsid w:val="00153387"/>
    <w:rsid w:val="0015340E"/>
    <w:rsid w:val="0015359C"/>
    <w:rsid w:val="0015369F"/>
    <w:rsid w:val="00154156"/>
    <w:rsid w:val="0015445D"/>
    <w:rsid w:val="00154CC9"/>
    <w:rsid w:val="001559C0"/>
    <w:rsid w:val="001560F0"/>
    <w:rsid w:val="001566EE"/>
    <w:rsid w:val="001568C1"/>
    <w:rsid w:val="00156D80"/>
    <w:rsid w:val="001573D7"/>
    <w:rsid w:val="00157E23"/>
    <w:rsid w:val="00157E58"/>
    <w:rsid w:val="00157FC3"/>
    <w:rsid w:val="0016028E"/>
    <w:rsid w:val="00160352"/>
    <w:rsid w:val="00160354"/>
    <w:rsid w:val="001603CE"/>
    <w:rsid w:val="00160854"/>
    <w:rsid w:val="00160EAC"/>
    <w:rsid w:val="001610A3"/>
    <w:rsid w:val="00161C84"/>
    <w:rsid w:val="001623F2"/>
    <w:rsid w:val="00162564"/>
    <w:rsid w:val="00162651"/>
    <w:rsid w:val="001626BD"/>
    <w:rsid w:val="001628F9"/>
    <w:rsid w:val="00162D28"/>
    <w:rsid w:val="001635AE"/>
    <w:rsid w:val="001635DB"/>
    <w:rsid w:val="0016379F"/>
    <w:rsid w:val="00163812"/>
    <w:rsid w:val="00163865"/>
    <w:rsid w:val="0016482C"/>
    <w:rsid w:val="0016483A"/>
    <w:rsid w:val="001648E9"/>
    <w:rsid w:val="001649DE"/>
    <w:rsid w:val="00164A38"/>
    <w:rsid w:val="00164DA5"/>
    <w:rsid w:val="00164E23"/>
    <w:rsid w:val="001650F8"/>
    <w:rsid w:val="00165222"/>
    <w:rsid w:val="0016595F"/>
    <w:rsid w:val="00165A06"/>
    <w:rsid w:val="00165F24"/>
    <w:rsid w:val="00166372"/>
    <w:rsid w:val="001664B0"/>
    <w:rsid w:val="00166A2C"/>
    <w:rsid w:val="00166BEF"/>
    <w:rsid w:val="00167972"/>
    <w:rsid w:val="00167E9C"/>
    <w:rsid w:val="0017070C"/>
    <w:rsid w:val="00170D23"/>
    <w:rsid w:val="00170E88"/>
    <w:rsid w:val="001711DB"/>
    <w:rsid w:val="00171B2F"/>
    <w:rsid w:val="00171D51"/>
    <w:rsid w:val="00172D74"/>
    <w:rsid w:val="0017320F"/>
    <w:rsid w:val="0017350C"/>
    <w:rsid w:val="00173A74"/>
    <w:rsid w:val="001746C2"/>
    <w:rsid w:val="00174840"/>
    <w:rsid w:val="00175235"/>
    <w:rsid w:val="0017584B"/>
    <w:rsid w:val="00175E0B"/>
    <w:rsid w:val="00175E43"/>
    <w:rsid w:val="001760B2"/>
    <w:rsid w:val="00176286"/>
    <w:rsid w:val="00176BC7"/>
    <w:rsid w:val="00176EED"/>
    <w:rsid w:val="00177167"/>
    <w:rsid w:val="001772DF"/>
    <w:rsid w:val="00180F96"/>
    <w:rsid w:val="0018102F"/>
    <w:rsid w:val="00181DFA"/>
    <w:rsid w:val="0018205E"/>
    <w:rsid w:val="0018206A"/>
    <w:rsid w:val="00182A09"/>
    <w:rsid w:val="001834DC"/>
    <w:rsid w:val="00183959"/>
    <w:rsid w:val="00183B1B"/>
    <w:rsid w:val="00183C79"/>
    <w:rsid w:val="00183C8B"/>
    <w:rsid w:val="00183E75"/>
    <w:rsid w:val="00184225"/>
    <w:rsid w:val="00184465"/>
    <w:rsid w:val="001845CF"/>
    <w:rsid w:val="00184677"/>
    <w:rsid w:val="00184BF0"/>
    <w:rsid w:val="001851CF"/>
    <w:rsid w:val="001857BB"/>
    <w:rsid w:val="00185969"/>
    <w:rsid w:val="00186195"/>
    <w:rsid w:val="001865BB"/>
    <w:rsid w:val="00186CA2"/>
    <w:rsid w:val="00187339"/>
    <w:rsid w:val="00187438"/>
    <w:rsid w:val="00187518"/>
    <w:rsid w:val="00187885"/>
    <w:rsid w:val="00187941"/>
    <w:rsid w:val="00190351"/>
    <w:rsid w:val="00190FB6"/>
    <w:rsid w:val="00191101"/>
    <w:rsid w:val="001912E3"/>
    <w:rsid w:val="001913D0"/>
    <w:rsid w:val="001933A1"/>
    <w:rsid w:val="00193911"/>
    <w:rsid w:val="00194444"/>
    <w:rsid w:val="0019464F"/>
    <w:rsid w:val="00194FD4"/>
    <w:rsid w:val="001952F2"/>
    <w:rsid w:val="0019560F"/>
    <w:rsid w:val="00195AC6"/>
    <w:rsid w:val="00195D05"/>
    <w:rsid w:val="00195D58"/>
    <w:rsid w:val="00195D5B"/>
    <w:rsid w:val="00195DED"/>
    <w:rsid w:val="00196B4E"/>
    <w:rsid w:val="00196DD9"/>
    <w:rsid w:val="00196F09"/>
    <w:rsid w:val="0019703B"/>
    <w:rsid w:val="00197BE9"/>
    <w:rsid w:val="00197EE5"/>
    <w:rsid w:val="00197F24"/>
    <w:rsid w:val="001A01E7"/>
    <w:rsid w:val="001A027A"/>
    <w:rsid w:val="001A0554"/>
    <w:rsid w:val="001A0C05"/>
    <w:rsid w:val="001A0D2C"/>
    <w:rsid w:val="001A0EE3"/>
    <w:rsid w:val="001A1663"/>
    <w:rsid w:val="001A173F"/>
    <w:rsid w:val="001A1EE6"/>
    <w:rsid w:val="001A2431"/>
    <w:rsid w:val="001A261A"/>
    <w:rsid w:val="001A30E6"/>
    <w:rsid w:val="001A3425"/>
    <w:rsid w:val="001A35A9"/>
    <w:rsid w:val="001A3862"/>
    <w:rsid w:val="001A398D"/>
    <w:rsid w:val="001A3AD6"/>
    <w:rsid w:val="001A41EA"/>
    <w:rsid w:val="001A422B"/>
    <w:rsid w:val="001A440A"/>
    <w:rsid w:val="001A4441"/>
    <w:rsid w:val="001A4A55"/>
    <w:rsid w:val="001A4F44"/>
    <w:rsid w:val="001A54D4"/>
    <w:rsid w:val="001A54DC"/>
    <w:rsid w:val="001A58A4"/>
    <w:rsid w:val="001A58FE"/>
    <w:rsid w:val="001A5F3D"/>
    <w:rsid w:val="001A6A4F"/>
    <w:rsid w:val="001A76B7"/>
    <w:rsid w:val="001B0900"/>
    <w:rsid w:val="001B0C8A"/>
    <w:rsid w:val="001B0E7A"/>
    <w:rsid w:val="001B1339"/>
    <w:rsid w:val="001B197E"/>
    <w:rsid w:val="001B1FC5"/>
    <w:rsid w:val="001B2B6A"/>
    <w:rsid w:val="001B32B8"/>
    <w:rsid w:val="001B3D57"/>
    <w:rsid w:val="001B41B1"/>
    <w:rsid w:val="001B440E"/>
    <w:rsid w:val="001B4A03"/>
    <w:rsid w:val="001B4AD1"/>
    <w:rsid w:val="001B5B57"/>
    <w:rsid w:val="001B6B20"/>
    <w:rsid w:val="001B783E"/>
    <w:rsid w:val="001B7BEC"/>
    <w:rsid w:val="001B7ECD"/>
    <w:rsid w:val="001C022B"/>
    <w:rsid w:val="001C033C"/>
    <w:rsid w:val="001C04B2"/>
    <w:rsid w:val="001C0D59"/>
    <w:rsid w:val="001C0DED"/>
    <w:rsid w:val="001C150B"/>
    <w:rsid w:val="001C17FA"/>
    <w:rsid w:val="001C1ACC"/>
    <w:rsid w:val="001C1FDE"/>
    <w:rsid w:val="001C2140"/>
    <w:rsid w:val="001C2369"/>
    <w:rsid w:val="001C2493"/>
    <w:rsid w:val="001C2A9D"/>
    <w:rsid w:val="001C2C77"/>
    <w:rsid w:val="001C3021"/>
    <w:rsid w:val="001C3737"/>
    <w:rsid w:val="001C3CC2"/>
    <w:rsid w:val="001C3ECC"/>
    <w:rsid w:val="001C3F78"/>
    <w:rsid w:val="001C44BE"/>
    <w:rsid w:val="001C4592"/>
    <w:rsid w:val="001C4BD7"/>
    <w:rsid w:val="001C4FD9"/>
    <w:rsid w:val="001C5839"/>
    <w:rsid w:val="001C5B9D"/>
    <w:rsid w:val="001C61B1"/>
    <w:rsid w:val="001C6AF5"/>
    <w:rsid w:val="001C725D"/>
    <w:rsid w:val="001C77E1"/>
    <w:rsid w:val="001C7ADA"/>
    <w:rsid w:val="001D08C2"/>
    <w:rsid w:val="001D12B2"/>
    <w:rsid w:val="001D1872"/>
    <w:rsid w:val="001D19AD"/>
    <w:rsid w:val="001D1B74"/>
    <w:rsid w:val="001D1C05"/>
    <w:rsid w:val="001D1C72"/>
    <w:rsid w:val="001D2C4D"/>
    <w:rsid w:val="001D2F0C"/>
    <w:rsid w:val="001D3351"/>
    <w:rsid w:val="001D3543"/>
    <w:rsid w:val="001D46EF"/>
    <w:rsid w:val="001D4AF5"/>
    <w:rsid w:val="001D4DEE"/>
    <w:rsid w:val="001D501F"/>
    <w:rsid w:val="001D5600"/>
    <w:rsid w:val="001D58E5"/>
    <w:rsid w:val="001D6191"/>
    <w:rsid w:val="001D650B"/>
    <w:rsid w:val="001D6A33"/>
    <w:rsid w:val="001D6CA4"/>
    <w:rsid w:val="001D6E6D"/>
    <w:rsid w:val="001D76AD"/>
    <w:rsid w:val="001D785D"/>
    <w:rsid w:val="001D7943"/>
    <w:rsid w:val="001D7A5C"/>
    <w:rsid w:val="001E086E"/>
    <w:rsid w:val="001E08AE"/>
    <w:rsid w:val="001E0C80"/>
    <w:rsid w:val="001E17B2"/>
    <w:rsid w:val="001E1B14"/>
    <w:rsid w:val="001E200A"/>
    <w:rsid w:val="001E2067"/>
    <w:rsid w:val="001E226F"/>
    <w:rsid w:val="001E24A9"/>
    <w:rsid w:val="001E2502"/>
    <w:rsid w:val="001E292F"/>
    <w:rsid w:val="001E2B40"/>
    <w:rsid w:val="001E2F3F"/>
    <w:rsid w:val="001E3202"/>
    <w:rsid w:val="001E328E"/>
    <w:rsid w:val="001E3CD1"/>
    <w:rsid w:val="001E3FDB"/>
    <w:rsid w:val="001E474D"/>
    <w:rsid w:val="001E47E9"/>
    <w:rsid w:val="001E4F0E"/>
    <w:rsid w:val="001E5210"/>
    <w:rsid w:val="001E53B7"/>
    <w:rsid w:val="001E5580"/>
    <w:rsid w:val="001E582A"/>
    <w:rsid w:val="001E5A81"/>
    <w:rsid w:val="001E5AFC"/>
    <w:rsid w:val="001E5C3D"/>
    <w:rsid w:val="001E72B2"/>
    <w:rsid w:val="001E72E6"/>
    <w:rsid w:val="001F0169"/>
    <w:rsid w:val="001F01B8"/>
    <w:rsid w:val="001F0349"/>
    <w:rsid w:val="001F05AE"/>
    <w:rsid w:val="001F09FD"/>
    <w:rsid w:val="001F0B74"/>
    <w:rsid w:val="001F15EE"/>
    <w:rsid w:val="001F1A0D"/>
    <w:rsid w:val="001F1E59"/>
    <w:rsid w:val="001F2B19"/>
    <w:rsid w:val="001F2D18"/>
    <w:rsid w:val="001F3293"/>
    <w:rsid w:val="001F37E0"/>
    <w:rsid w:val="001F40A5"/>
    <w:rsid w:val="001F41F6"/>
    <w:rsid w:val="001F4AE1"/>
    <w:rsid w:val="001F4EB8"/>
    <w:rsid w:val="001F5E52"/>
    <w:rsid w:val="001F6F6A"/>
    <w:rsid w:val="001F7139"/>
    <w:rsid w:val="001F7595"/>
    <w:rsid w:val="00200B34"/>
    <w:rsid w:val="00200B4C"/>
    <w:rsid w:val="002019F2"/>
    <w:rsid w:val="00201C2A"/>
    <w:rsid w:val="00201CDA"/>
    <w:rsid w:val="002021A8"/>
    <w:rsid w:val="00202326"/>
    <w:rsid w:val="002027C7"/>
    <w:rsid w:val="00202DE2"/>
    <w:rsid w:val="00202E03"/>
    <w:rsid w:val="00202F71"/>
    <w:rsid w:val="00203267"/>
    <w:rsid w:val="002033A2"/>
    <w:rsid w:val="0020391D"/>
    <w:rsid w:val="00204482"/>
    <w:rsid w:val="002044BC"/>
    <w:rsid w:val="00204EFE"/>
    <w:rsid w:val="00205010"/>
    <w:rsid w:val="00205519"/>
    <w:rsid w:val="00205F9C"/>
    <w:rsid w:val="00206F27"/>
    <w:rsid w:val="00207369"/>
    <w:rsid w:val="002073F8"/>
    <w:rsid w:val="00207BDB"/>
    <w:rsid w:val="00207C8F"/>
    <w:rsid w:val="002100F0"/>
    <w:rsid w:val="00210771"/>
    <w:rsid w:val="00210815"/>
    <w:rsid w:val="00210DEA"/>
    <w:rsid w:val="00211885"/>
    <w:rsid w:val="00211AB7"/>
    <w:rsid w:val="00211C59"/>
    <w:rsid w:val="002126BA"/>
    <w:rsid w:val="002129C2"/>
    <w:rsid w:val="0021428F"/>
    <w:rsid w:val="002146BC"/>
    <w:rsid w:val="00214715"/>
    <w:rsid w:val="00215699"/>
    <w:rsid w:val="002159DE"/>
    <w:rsid w:val="00215CE6"/>
    <w:rsid w:val="00215E99"/>
    <w:rsid w:val="0021637C"/>
    <w:rsid w:val="002166A6"/>
    <w:rsid w:val="00216A61"/>
    <w:rsid w:val="00216ADB"/>
    <w:rsid w:val="00216BB6"/>
    <w:rsid w:val="00216C30"/>
    <w:rsid w:val="00217B45"/>
    <w:rsid w:val="0022048B"/>
    <w:rsid w:val="00220692"/>
    <w:rsid w:val="00220998"/>
    <w:rsid w:val="00222078"/>
    <w:rsid w:val="00222103"/>
    <w:rsid w:val="00222261"/>
    <w:rsid w:val="00222616"/>
    <w:rsid w:val="00222AD9"/>
    <w:rsid w:val="00222D3C"/>
    <w:rsid w:val="0022369A"/>
    <w:rsid w:val="002237D3"/>
    <w:rsid w:val="00223960"/>
    <w:rsid w:val="00223B07"/>
    <w:rsid w:val="00224084"/>
    <w:rsid w:val="0022436A"/>
    <w:rsid w:val="00224AD6"/>
    <w:rsid w:val="00224E52"/>
    <w:rsid w:val="00225736"/>
    <w:rsid w:val="00225884"/>
    <w:rsid w:val="0022590D"/>
    <w:rsid w:val="00225E64"/>
    <w:rsid w:val="00226098"/>
    <w:rsid w:val="0022669A"/>
    <w:rsid w:val="002267CE"/>
    <w:rsid w:val="002272AB"/>
    <w:rsid w:val="00227C71"/>
    <w:rsid w:val="00227D49"/>
    <w:rsid w:val="00227FC7"/>
    <w:rsid w:val="00230B33"/>
    <w:rsid w:val="00230C43"/>
    <w:rsid w:val="00231740"/>
    <w:rsid w:val="002319E6"/>
    <w:rsid w:val="002325A8"/>
    <w:rsid w:val="00232EED"/>
    <w:rsid w:val="002341F6"/>
    <w:rsid w:val="0023440D"/>
    <w:rsid w:val="002347B1"/>
    <w:rsid w:val="00234DDE"/>
    <w:rsid w:val="0023552A"/>
    <w:rsid w:val="00235A21"/>
    <w:rsid w:val="00235D25"/>
    <w:rsid w:val="00235E13"/>
    <w:rsid w:val="002365B5"/>
    <w:rsid w:val="00236E72"/>
    <w:rsid w:val="00236F13"/>
    <w:rsid w:val="0023706D"/>
    <w:rsid w:val="002372F4"/>
    <w:rsid w:val="00237D17"/>
    <w:rsid w:val="0024029A"/>
    <w:rsid w:val="002402F6"/>
    <w:rsid w:val="002407C8"/>
    <w:rsid w:val="00240F4D"/>
    <w:rsid w:val="002410F9"/>
    <w:rsid w:val="002411E2"/>
    <w:rsid w:val="002412C3"/>
    <w:rsid w:val="002412FE"/>
    <w:rsid w:val="002417F8"/>
    <w:rsid w:val="00241FC8"/>
    <w:rsid w:val="00242328"/>
    <w:rsid w:val="002424AD"/>
    <w:rsid w:val="00242C4A"/>
    <w:rsid w:val="00243668"/>
    <w:rsid w:val="002437D9"/>
    <w:rsid w:val="00243C8D"/>
    <w:rsid w:val="002440FD"/>
    <w:rsid w:val="002446A3"/>
    <w:rsid w:val="0024472B"/>
    <w:rsid w:val="00244C00"/>
    <w:rsid w:val="00244E56"/>
    <w:rsid w:val="002454BE"/>
    <w:rsid w:val="00245C4C"/>
    <w:rsid w:val="00246221"/>
    <w:rsid w:val="00246447"/>
    <w:rsid w:val="00246CCD"/>
    <w:rsid w:val="002478E5"/>
    <w:rsid w:val="00247C53"/>
    <w:rsid w:val="0025073C"/>
    <w:rsid w:val="00250F42"/>
    <w:rsid w:val="00250FD2"/>
    <w:rsid w:val="00251A8F"/>
    <w:rsid w:val="00251E74"/>
    <w:rsid w:val="002529C2"/>
    <w:rsid w:val="00253EA0"/>
    <w:rsid w:val="0025434B"/>
    <w:rsid w:val="00254439"/>
    <w:rsid w:val="00254B44"/>
    <w:rsid w:val="00254E99"/>
    <w:rsid w:val="00255460"/>
    <w:rsid w:val="00255BAF"/>
    <w:rsid w:val="0025753B"/>
    <w:rsid w:val="00257AAE"/>
    <w:rsid w:val="0026010B"/>
    <w:rsid w:val="0026027A"/>
    <w:rsid w:val="002602E7"/>
    <w:rsid w:val="00260423"/>
    <w:rsid w:val="00260533"/>
    <w:rsid w:val="00260B94"/>
    <w:rsid w:val="00260ED8"/>
    <w:rsid w:val="0026117E"/>
    <w:rsid w:val="002615F8"/>
    <w:rsid w:val="00261A54"/>
    <w:rsid w:val="00261D37"/>
    <w:rsid w:val="00261E00"/>
    <w:rsid w:val="00263081"/>
    <w:rsid w:val="00263607"/>
    <w:rsid w:val="00263874"/>
    <w:rsid w:val="00263AA1"/>
    <w:rsid w:val="00263D34"/>
    <w:rsid w:val="00263EF1"/>
    <w:rsid w:val="0026411A"/>
    <w:rsid w:val="00264912"/>
    <w:rsid w:val="00264FC8"/>
    <w:rsid w:val="002654E8"/>
    <w:rsid w:val="002656E1"/>
    <w:rsid w:val="00265946"/>
    <w:rsid w:val="00265CAF"/>
    <w:rsid w:val="00265CFF"/>
    <w:rsid w:val="002674E3"/>
    <w:rsid w:val="0026768C"/>
    <w:rsid w:val="00267755"/>
    <w:rsid w:val="00267A65"/>
    <w:rsid w:val="002705FE"/>
    <w:rsid w:val="002706F0"/>
    <w:rsid w:val="00270CF7"/>
    <w:rsid w:val="00270D82"/>
    <w:rsid w:val="00270EEB"/>
    <w:rsid w:val="002713DB"/>
    <w:rsid w:val="00271599"/>
    <w:rsid w:val="002715AC"/>
    <w:rsid w:val="00272219"/>
    <w:rsid w:val="00272A40"/>
    <w:rsid w:val="00272C99"/>
    <w:rsid w:val="00272D7E"/>
    <w:rsid w:val="0027302B"/>
    <w:rsid w:val="00273278"/>
    <w:rsid w:val="00273AFD"/>
    <w:rsid w:val="00273F2B"/>
    <w:rsid w:val="002741A0"/>
    <w:rsid w:val="002746D8"/>
    <w:rsid w:val="00274B50"/>
    <w:rsid w:val="00275128"/>
    <w:rsid w:val="00275343"/>
    <w:rsid w:val="00275641"/>
    <w:rsid w:val="002762E6"/>
    <w:rsid w:val="00276AE0"/>
    <w:rsid w:val="00276D6A"/>
    <w:rsid w:val="00277E64"/>
    <w:rsid w:val="002802D7"/>
    <w:rsid w:val="00280337"/>
    <w:rsid w:val="00280AB5"/>
    <w:rsid w:val="00280B32"/>
    <w:rsid w:val="00280EDC"/>
    <w:rsid w:val="0028218E"/>
    <w:rsid w:val="002821E9"/>
    <w:rsid w:val="00282363"/>
    <w:rsid w:val="0028324E"/>
    <w:rsid w:val="00284163"/>
    <w:rsid w:val="00284F37"/>
    <w:rsid w:val="0028541A"/>
    <w:rsid w:val="00285523"/>
    <w:rsid w:val="002857C6"/>
    <w:rsid w:val="002859F5"/>
    <w:rsid w:val="002865A0"/>
    <w:rsid w:val="002868A6"/>
    <w:rsid w:val="002868BE"/>
    <w:rsid w:val="0028710F"/>
    <w:rsid w:val="002872C3"/>
    <w:rsid w:val="00287B1D"/>
    <w:rsid w:val="002903E2"/>
    <w:rsid w:val="0029077C"/>
    <w:rsid w:val="002908A7"/>
    <w:rsid w:val="00290B0A"/>
    <w:rsid w:val="002913FD"/>
    <w:rsid w:val="002916D1"/>
    <w:rsid w:val="00291D71"/>
    <w:rsid w:val="00292115"/>
    <w:rsid w:val="00292F66"/>
    <w:rsid w:val="0029315D"/>
    <w:rsid w:val="00293D6E"/>
    <w:rsid w:val="00293E79"/>
    <w:rsid w:val="0029421A"/>
    <w:rsid w:val="0029449E"/>
    <w:rsid w:val="002947C7"/>
    <w:rsid w:val="00294C8B"/>
    <w:rsid w:val="00294E8F"/>
    <w:rsid w:val="0029504D"/>
    <w:rsid w:val="00295401"/>
    <w:rsid w:val="0029570C"/>
    <w:rsid w:val="0029625F"/>
    <w:rsid w:val="002965E0"/>
    <w:rsid w:val="00296D2B"/>
    <w:rsid w:val="00296F46"/>
    <w:rsid w:val="00296F8A"/>
    <w:rsid w:val="002A01FD"/>
    <w:rsid w:val="002A05C9"/>
    <w:rsid w:val="002A06F1"/>
    <w:rsid w:val="002A0AAC"/>
    <w:rsid w:val="002A12BA"/>
    <w:rsid w:val="002A180F"/>
    <w:rsid w:val="002A183F"/>
    <w:rsid w:val="002A1873"/>
    <w:rsid w:val="002A1AE1"/>
    <w:rsid w:val="002A2060"/>
    <w:rsid w:val="002A2857"/>
    <w:rsid w:val="002A2D7B"/>
    <w:rsid w:val="002A353A"/>
    <w:rsid w:val="002A367A"/>
    <w:rsid w:val="002A391D"/>
    <w:rsid w:val="002A3B40"/>
    <w:rsid w:val="002A3C27"/>
    <w:rsid w:val="002A40BC"/>
    <w:rsid w:val="002A4404"/>
    <w:rsid w:val="002A51E9"/>
    <w:rsid w:val="002A52E3"/>
    <w:rsid w:val="002A5425"/>
    <w:rsid w:val="002A547D"/>
    <w:rsid w:val="002A556E"/>
    <w:rsid w:val="002A55A2"/>
    <w:rsid w:val="002A5B44"/>
    <w:rsid w:val="002A5CA0"/>
    <w:rsid w:val="002A61F9"/>
    <w:rsid w:val="002A63AF"/>
    <w:rsid w:val="002A6AD1"/>
    <w:rsid w:val="002A6E8E"/>
    <w:rsid w:val="002A6FBE"/>
    <w:rsid w:val="002A7450"/>
    <w:rsid w:val="002A7622"/>
    <w:rsid w:val="002A7869"/>
    <w:rsid w:val="002A7BB5"/>
    <w:rsid w:val="002A7F5B"/>
    <w:rsid w:val="002B0126"/>
    <w:rsid w:val="002B0D78"/>
    <w:rsid w:val="002B0D89"/>
    <w:rsid w:val="002B0F46"/>
    <w:rsid w:val="002B1BB2"/>
    <w:rsid w:val="002B2078"/>
    <w:rsid w:val="002B22D4"/>
    <w:rsid w:val="002B2334"/>
    <w:rsid w:val="002B291F"/>
    <w:rsid w:val="002B2B21"/>
    <w:rsid w:val="002B2E6C"/>
    <w:rsid w:val="002B3178"/>
    <w:rsid w:val="002B37A1"/>
    <w:rsid w:val="002B3A2B"/>
    <w:rsid w:val="002B3A68"/>
    <w:rsid w:val="002B3C14"/>
    <w:rsid w:val="002B3C46"/>
    <w:rsid w:val="002B3FD0"/>
    <w:rsid w:val="002B43FA"/>
    <w:rsid w:val="002B46E6"/>
    <w:rsid w:val="002B46F6"/>
    <w:rsid w:val="002B4D9A"/>
    <w:rsid w:val="002B5C84"/>
    <w:rsid w:val="002B65D5"/>
    <w:rsid w:val="002B65D8"/>
    <w:rsid w:val="002B6B22"/>
    <w:rsid w:val="002B73B2"/>
    <w:rsid w:val="002B7969"/>
    <w:rsid w:val="002C06D1"/>
    <w:rsid w:val="002C0B3E"/>
    <w:rsid w:val="002C0BB1"/>
    <w:rsid w:val="002C0FA3"/>
    <w:rsid w:val="002C138F"/>
    <w:rsid w:val="002C14A5"/>
    <w:rsid w:val="002C2043"/>
    <w:rsid w:val="002C2252"/>
    <w:rsid w:val="002C28E2"/>
    <w:rsid w:val="002C2DB8"/>
    <w:rsid w:val="002C3038"/>
    <w:rsid w:val="002C3066"/>
    <w:rsid w:val="002C314B"/>
    <w:rsid w:val="002C31E5"/>
    <w:rsid w:val="002C41DC"/>
    <w:rsid w:val="002C423C"/>
    <w:rsid w:val="002C4533"/>
    <w:rsid w:val="002C474F"/>
    <w:rsid w:val="002C4822"/>
    <w:rsid w:val="002C4CA9"/>
    <w:rsid w:val="002C5A63"/>
    <w:rsid w:val="002C5B61"/>
    <w:rsid w:val="002C5FD6"/>
    <w:rsid w:val="002C63F6"/>
    <w:rsid w:val="002C73FD"/>
    <w:rsid w:val="002C754B"/>
    <w:rsid w:val="002C79D7"/>
    <w:rsid w:val="002C7A9A"/>
    <w:rsid w:val="002D0356"/>
    <w:rsid w:val="002D06E7"/>
    <w:rsid w:val="002D07C0"/>
    <w:rsid w:val="002D0829"/>
    <w:rsid w:val="002D0904"/>
    <w:rsid w:val="002D0905"/>
    <w:rsid w:val="002D0C19"/>
    <w:rsid w:val="002D0F3D"/>
    <w:rsid w:val="002D0FC6"/>
    <w:rsid w:val="002D1101"/>
    <w:rsid w:val="002D138C"/>
    <w:rsid w:val="002D14B7"/>
    <w:rsid w:val="002D1822"/>
    <w:rsid w:val="002D18BC"/>
    <w:rsid w:val="002D1A3D"/>
    <w:rsid w:val="002D2385"/>
    <w:rsid w:val="002D2A68"/>
    <w:rsid w:val="002D32C9"/>
    <w:rsid w:val="002D34D0"/>
    <w:rsid w:val="002D3B3F"/>
    <w:rsid w:val="002D3EC8"/>
    <w:rsid w:val="002D403E"/>
    <w:rsid w:val="002D4059"/>
    <w:rsid w:val="002D4325"/>
    <w:rsid w:val="002D45BF"/>
    <w:rsid w:val="002D46FB"/>
    <w:rsid w:val="002D4776"/>
    <w:rsid w:val="002D4A85"/>
    <w:rsid w:val="002D4E7E"/>
    <w:rsid w:val="002D5365"/>
    <w:rsid w:val="002D550D"/>
    <w:rsid w:val="002D553B"/>
    <w:rsid w:val="002D5AE2"/>
    <w:rsid w:val="002D64DF"/>
    <w:rsid w:val="002D6681"/>
    <w:rsid w:val="002D69D3"/>
    <w:rsid w:val="002D71F8"/>
    <w:rsid w:val="002E000C"/>
    <w:rsid w:val="002E02AA"/>
    <w:rsid w:val="002E0BB3"/>
    <w:rsid w:val="002E13E0"/>
    <w:rsid w:val="002E1950"/>
    <w:rsid w:val="002E2864"/>
    <w:rsid w:val="002E2900"/>
    <w:rsid w:val="002E2D4A"/>
    <w:rsid w:val="002E38DB"/>
    <w:rsid w:val="002E39E2"/>
    <w:rsid w:val="002E4708"/>
    <w:rsid w:val="002E4F35"/>
    <w:rsid w:val="002E5256"/>
    <w:rsid w:val="002E5271"/>
    <w:rsid w:val="002E538F"/>
    <w:rsid w:val="002E539A"/>
    <w:rsid w:val="002E55DD"/>
    <w:rsid w:val="002E5995"/>
    <w:rsid w:val="002E5E77"/>
    <w:rsid w:val="002E5E87"/>
    <w:rsid w:val="002E5F31"/>
    <w:rsid w:val="002E69E6"/>
    <w:rsid w:val="002E72B2"/>
    <w:rsid w:val="002E7B71"/>
    <w:rsid w:val="002E7EA2"/>
    <w:rsid w:val="002F005B"/>
    <w:rsid w:val="002F059B"/>
    <w:rsid w:val="002F05C3"/>
    <w:rsid w:val="002F0F75"/>
    <w:rsid w:val="002F0FA6"/>
    <w:rsid w:val="002F1008"/>
    <w:rsid w:val="002F108D"/>
    <w:rsid w:val="002F117A"/>
    <w:rsid w:val="002F127D"/>
    <w:rsid w:val="002F12EB"/>
    <w:rsid w:val="002F14F5"/>
    <w:rsid w:val="002F1BD1"/>
    <w:rsid w:val="002F20F0"/>
    <w:rsid w:val="002F2B7A"/>
    <w:rsid w:val="002F3105"/>
    <w:rsid w:val="002F33CD"/>
    <w:rsid w:val="002F37D0"/>
    <w:rsid w:val="002F4604"/>
    <w:rsid w:val="002F4675"/>
    <w:rsid w:val="002F485F"/>
    <w:rsid w:val="002F493D"/>
    <w:rsid w:val="002F49C5"/>
    <w:rsid w:val="002F54F6"/>
    <w:rsid w:val="002F554B"/>
    <w:rsid w:val="002F5836"/>
    <w:rsid w:val="002F5892"/>
    <w:rsid w:val="002F5EB8"/>
    <w:rsid w:val="002F6071"/>
    <w:rsid w:val="002F6F94"/>
    <w:rsid w:val="002F72FF"/>
    <w:rsid w:val="002F797B"/>
    <w:rsid w:val="002F79CC"/>
    <w:rsid w:val="002F7AE0"/>
    <w:rsid w:val="002F7BE7"/>
    <w:rsid w:val="002F7C59"/>
    <w:rsid w:val="002F7DA8"/>
    <w:rsid w:val="002F7F8F"/>
    <w:rsid w:val="00300149"/>
    <w:rsid w:val="00300264"/>
    <w:rsid w:val="0030092B"/>
    <w:rsid w:val="00300D13"/>
    <w:rsid w:val="00300F4E"/>
    <w:rsid w:val="003014B1"/>
    <w:rsid w:val="003019D9"/>
    <w:rsid w:val="00302179"/>
    <w:rsid w:val="0030242B"/>
    <w:rsid w:val="00302595"/>
    <w:rsid w:val="00303041"/>
    <w:rsid w:val="003030F5"/>
    <w:rsid w:val="003036F3"/>
    <w:rsid w:val="00304222"/>
    <w:rsid w:val="0030463E"/>
    <w:rsid w:val="00304AB6"/>
    <w:rsid w:val="00304D17"/>
    <w:rsid w:val="00304ED6"/>
    <w:rsid w:val="0030501A"/>
    <w:rsid w:val="00305EAA"/>
    <w:rsid w:val="003062A7"/>
    <w:rsid w:val="003064BF"/>
    <w:rsid w:val="00306521"/>
    <w:rsid w:val="00307223"/>
    <w:rsid w:val="00307B47"/>
    <w:rsid w:val="0031034B"/>
    <w:rsid w:val="003107C6"/>
    <w:rsid w:val="00310825"/>
    <w:rsid w:val="003109D8"/>
    <w:rsid w:val="00311632"/>
    <w:rsid w:val="00311993"/>
    <w:rsid w:val="00312079"/>
    <w:rsid w:val="0031239E"/>
    <w:rsid w:val="003123BD"/>
    <w:rsid w:val="00312AB8"/>
    <w:rsid w:val="00313197"/>
    <w:rsid w:val="0031398C"/>
    <w:rsid w:val="00313CE4"/>
    <w:rsid w:val="00313D9B"/>
    <w:rsid w:val="00313E76"/>
    <w:rsid w:val="00313F79"/>
    <w:rsid w:val="00314102"/>
    <w:rsid w:val="00314410"/>
    <w:rsid w:val="00315212"/>
    <w:rsid w:val="00315A06"/>
    <w:rsid w:val="00315CD2"/>
    <w:rsid w:val="003163DC"/>
    <w:rsid w:val="00316600"/>
    <w:rsid w:val="003166C1"/>
    <w:rsid w:val="00316A8B"/>
    <w:rsid w:val="00316BF6"/>
    <w:rsid w:val="0031733B"/>
    <w:rsid w:val="00317E87"/>
    <w:rsid w:val="0032081F"/>
    <w:rsid w:val="00320952"/>
    <w:rsid w:val="00322121"/>
    <w:rsid w:val="0032244B"/>
    <w:rsid w:val="003225FB"/>
    <w:rsid w:val="00322604"/>
    <w:rsid w:val="00323503"/>
    <w:rsid w:val="003235CB"/>
    <w:rsid w:val="00323759"/>
    <w:rsid w:val="00323A7C"/>
    <w:rsid w:val="00323C32"/>
    <w:rsid w:val="00323FC7"/>
    <w:rsid w:val="003247BA"/>
    <w:rsid w:val="00324A1D"/>
    <w:rsid w:val="00325742"/>
    <w:rsid w:val="00325B63"/>
    <w:rsid w:val="00325D44"/>
    <w:rsid w:val="00326196"/>
    <w:rsid w:val="00326240"/>
    <w:rsid w:val="003278A1"/>
    <w:rsid w:val="00327909"/>
    <w:rsid w:val="0032791F"/>
    <w:rsid w:val="00327AB3"/>
    <w:rsid w:val="00327D3F"/>
    <w:rsid w:val="00327DA2"/>
    <w:rsid w:val="0033008F"/>
    <w:rsid w:val="003305B0"/>
    <w:rsid w:val="00330D77"/>
    <w:rsid w:val="00331120"/>
    <w:rsid w:val="003318D5"/>
    <w:rsid w:val="00331B9D"/>
    <w:rsid w:val="00331E0F"/>
    <w:rsid w:val="00331E9D"/>
    <w:rsid w:val="00331ECF"/>
    <w:rsid w:val="003327DF"/>
    <w:rsid w:val="00332FCC"/>
    <w:rsid w:val="0033371C"/>
    <w:rsid w:val="00333D6D"/>
    <w:rsid w:val="00333E8D"/>
    <w:rsid w:val="003349B3"/>
    <w:rsid w:val="00334CA7"/>
    <w:rsid w:val="0033592F"/>
    <w:rsid w:val="00335E3F"/>
    <w:rsid w:val="003368C0"/>
    <w:rsid w:val="003369FF"/>
    <w:rsid w:val="00336AEA"/>
    <w:rsid w:val="00336B35"/>
    <w:rsid w:val="0033704D"/>
    <w:rsid w:val="003373AC"/>
    <w:rsid w:val="0033758C"/>
    <w:rsid w:val="003375D7"/>
    <w:rsid w:val="0033764B"/>
    <w:rsid w:val="003406F8"/>
    <w:rsid w:val="00340778"/>
    <w:rsid w:val="00340B2C"/>
    <w:rsid w:val="00340B44"/>
    <w:rsid w:val="0034134C"/>
    <w:rsid w:val="003414CC"/>
    <w:rsid w:val="0034170C"/>
    <w:rsid w:val="00341A2A"/>
    <w:rsid w:val="00341CED"/>
    <w:rsid w:val="003425B1"/>
    <w:rsid w:val="00342759"/>
    <w:rsid w:val="00342DC1"/>
    <w:rsid w:val="003434AA"/>
    <w:rsid w:val="00343BDF"/>
    <w:rsid w:val="00343E87"/>
    <w:rsid w:val="00343F41"/>
    <w:rsid w:val="0034459F"/>
    <w:rsid w:val="00344676"/>
    <w:rsid w:val="00344FD2"/>
    <w:rsid w:val="00345300"/>
    <w:rsid w:val="00345424"/>
    <w:rsid w:val="00345517"/>
    <w:rsid w:val="003459F3"/>
    <w:rsid w:val="00345D89"/>
    <w:rsid w:val="00345EA7"/>
    <w:rsid w:val="0034625F"/>
    <w:rsid w:val="0034652C"/>
    <w:rsid w:val="00346679"/>
    <w:rsid w:val="00347508"/>
    <w:rsid w:val="00347598"/>
    <w:rsid w:val="0034765D"/>
    <w:rsid w:val="00347D0E"/>
    <w:rsid w:val="00347F10"/>
    <w:rsid w:val="003501B6"/>
    <w:rsid w:val="0035067B"/>
    <w:rsid w:val="00350D8B"/>
    <w:rsid w:val="00350E0D"/>
    <w:rsid w:val="0035164F"/>
    <w:rsid w:val="00351B01"/>
    <w:rsid w:val="00351FB4"/>
    <w:rsid w:val="003528EA"/>
    <w:rsid w:val="00352B65"/>
    <w:rsid w:val="00352D4B"/>
    <w:rsid w:val="00353025"/>
    <w:rsid w:val="003530E5"/>
    <w:rsid w:val="00353220"/>
    <w:rsid w:val="0035331A"/>
    <w:rsid w:val="00353878"/>
    <w:rsid w:val="00353A00"/>
    <w:rsid w:val="00354A1F"/>
    <w:rsid w:val="00354DAA"/>
    <w:rsid w:val="00355567"/>
    <w:rsid w:val="00355B11"/>
    <w:rsid w:val="00355B28"/>
    <w:rsid w:val="00356117"/>
    <w:rsid w:val="0035640C"/>
    <w:rsid w:val="00356F31"/>
    <w:rsid w:val="00357DFD"/>
    <w:rsid w:val="00357E85"/>
    <w:rsid w:val="00360494"/>
    <w:rsid w:val="00360685"/>
    <w:rsid w:val="00360CB9"/>
    <w:rsid w:val="00361140"/>
    <w:rsid w:val="00362527"/>
    <w:rsid w:val="003626C0"/>
    <w:rsid w:val="00362C5E"/>
    <w:rsid w:val="00362E6F"/>
    <w:rsid w:val="00362FA9"/>
    <w:rsid w:val="00363417"/>
    <w:rsid w:val="003635F2"/>
    <w:rsid w:val="003639E5"/>
    <w:rsid w:val="00363D6C"/>
    <w:rsid w:val="00363D7A"/>
    <w:rsid w:val="00363F6E"/>
    <w:rsid w:val="0036404A"/>
    <w:rsid w:val="003640A7"/>
    <w:rsid w:val="0036449F"/>
    <w:rsid w:val="00364649"/>
    <w:rsid w:val="00364EA5"/>
    <w:rsid w:val="0036508D"/>
    <w:rsid w:val="003650E8"/>
    <w:rsid w:val="003651C8"/>
    <w:rsid w:val="003652EA"/>
    <w:rsid w:val="003657CA"/>
    <w:rsid w:val="00365A25"/>
    <w:rsid w:val="00365B48"/>
    <w:rsid w:val="00366214"/>
    <w:rsid w:val="00366CA0"/>
    <w:rsid w:val="00366CAC"/>
    <w:rsid w:val="00366F33"/>
    <w:rsid w:val="00367440"/>
    <w:rsid w:val="00367894"/>
    <w:rsid w:val="003679BA"/>
    <w:rsid w:val="00367F25"/>
    <w:rsid w:val="003700A3"/>
    <w:rsid w:val="00370217"/>
    <w:rsid w:val="00370B40"/>
    <w:rsid w:val="003721FB"/>
    <w:rsid w:val="003722C5"/>
    <w:rsid w:val="0037240A"/>
    <w:rsid w:val="00372AE4"/>
    <w:rsid w:val="00372C5B"/>
    <w:rsid w:val="003730D6"/>
    <w:rsid w:val="00373411"/>
    <w:rsid w:val="00373D40"/>
    <w:rsid w:val="00374251"/>
    <w:rsid w:val="003744B3"/>
    <w:rsid w:val="003745F4"/>
    <w:rsid w:val="00374D89"/>
    <w:rsid w:val="003751B4"/>
    <w:rsid w:val="00375509"/>
    <w:rsid w:val="00375848"/>
    <w:rsid w:val="00375D29"/>
    <w:rsid w:val="00375D91"/>
    <w:rsid w:val="00376E2B"/>
    <w:rsid w:val="0037769E"/>
    <w:rsid w:val="00377BE4"/>
    <w:rsid w:val="00380094"/>
    <w:rsid w:val="003800F0"/>
    <w:rsid w:val="00382306"/>
    <w:rsid w:val="003823F5"/>
    <w:rsid w:val="003827EC"/>
    <w:rsid w:val="0038292B"/>
    <w:rsid w:val="00382B86"/>
    <w:rsid w:val="00383071"/>
    <w:rsid w:val="003832D6"/>
    <w:rsid w:val="003832EF"/>
    <w:rsid w:val="003837F4"/>
    <w:rsid w:val="003840D8"/>
    <w:rsid w:val="003845A4"/>
    <w:rsid w:val="003846D9"/>
    <w:rsid w:val="00384F9D"/>
    <w:rsid w:val="00384FED"/>
    <w:rsid w:val="0038564A"/>
    <w:rsid w:val="0038576C"/>
    <w:rsid w:val="00385800"/>
    <w:rsid w:val="00385B99"/>
    <w:rsid w:val="00385F39"/>
    <w:rsid w:val="0038743E"/>
    <w:rsid w:val="003879DF"/>
    <w:rsid w:val="00387DFA"/>
    <w:rsid w:val="00390081"/>
    <w:rsid w:val="0039083F"/>
    <w:rsid w:val="00390A30"/>
    <w:rsid w:val="00390D65"/>
    <w:rsid w:val="00390EC0"/>
    <w:rsid w:val="00391374"/>
    <w:rsid w:val="00391FAB"/>
    <w:rsid w:val="00392050"/>
    <w:rsid w:val="00392539"/>
    <w:rsid w:val="00392677"/>
    <w:rsid w:val="00392C99"/>
    <w:rsid w:val="0039365B"/>
    <w:rsid w:val="003936EA"/>
    <w:rsid w:val="00393987"/>
    <w:rsid w:val="003940F7"/>
    <w:rsid w:val="00394981"/>
    <w:rsid w:val="00394986"/>
    <w:rsid w:val="003953A8"/>
    <w:rsid w:val="00395E63"/>
    <w:rsid w:val="00395E7E"/>
    <w:rsid w:val="003965D8"/>
    <w:rsid w:val="00396766"/>
    <w:rsid w:val="003968D5"/>
    <w:rsid w:val="00396D36"/>
    <w:rsid w:val="00396D6E"/>
    <w:rsid w:val="00396E80"/>
    <w:rsid w:val="00396FF0"/>
    <w:rsid w:val="0039746F"/>
    <w:rsid w:val="0039788E"/>
    <w:rsid w:val="00397F3C"/>
    <w:rsid w:val="003A0529"/>
    <w:rsid w:val="003A0962"/>
    <w:rsid w:val="003A0BA4"/>
    <w:rsid w:val="003A195A"/>
    <w:rsid w:val="003A1E28"/>
    <w:rsid w:val="003A2385"/>
    <w:rsid w:val="003A3551"/>
    <w:rsid w:val="003A37E9"/>
    <w:rsid w:val="003A38F0"/>
    <w:rsid w:val="003A42F3"/>
    <w:rsid w:val="003A443D"/>
    <w:rsid w:val="003A4932"/>
    <w:rsid w:val="003A556D"/>
    <w:rsid w:val="003A5C97"/>
    <w:rsid w:val="003A6627"/>
    <w:rsid w:val="003A6A5A"/>
    <w:rsid w:val="003A7025"/>
    <w:rsid w:val="003A72E9"/>
    <w:rsid w:val="003A7807"/>
    <w:rsid w:val="003B0173"/>
    <w:rsid w:val="003B0398"/>
    <w:rsid w:val="003B0DA5"/>
    <w:rsid w:val="003B0E74"/>
    <w:rsid w:val="003B25B0"/>
    <w:rsid w:val="003B3379"/>
    <w:rsid w:val="003B36B9"/>
    <w:rsid w:val="003B4A4A"/>
    <w:rsid w:val="003B4E74"/>
    <w:rsid w:val="003B53A5"/>
    <w:rsid w:val="003B59EE"/>
    <w:rsid w:val="003B5B72"/>
    <w:rsid w:val="003B5C06"/>
    <w:rsid w:val="003B5DD0"/>
    <w:rsid w:val="003B60F7"/>
    <w:rsid w:val="003B658D"/>
    <w:rsid w:val="003B6D71"/>
    <w:rsid w:val="003B6EF2"/>
    <w:rsid w:val="003B7E7A"/>
    <w:rsid w:val="003C0463"/>
    <w:rsid w:val="003C0599"/>
    <w:rsid w:val="003C05F5"/>
    <w:rsid w:val="003C0905"/>
    <w:rsid w:val="003C0F5F"/>
    <w:rsid w:val="003C1CBE"/>
    <w:rsid w:val="003C1EAF"/>
    <w:rsid w:val="003C241F"/>
    <w:rsid w:val="003C2615"/>
    <w:rsid w:val="003C3460"/>
    <w:rsid w:val="003C346B"/>
    <w:rsid w:val="003C3F12"/>
    <w:rsid w:val="003C40EE"/>
    <w:rsid w:val="003C4206"/>
    <w:rsid w:val="003C42F7"/>
    <w:rsid w:val="003C468C"/>
    <w:rsid w:val="003C479F"/>
    <w:rsid w:val="003C4884"/>
    <w:rsid w:val="003C4DC7"/>
    <w:rsid w:val="003C5092"/>
    <w:rsid w:val="003C5A73"/>
    <w:rsid w:val="003C5DEF"/>
    <w:rsid w:val="003C641E"/>
    <w:rsid w:val="003C6C81"/>
    <w:rsid w:val="003C6F33"/>
    <w:rsid w:val="003D000D"/>
    <w:rsid w:val="003D047F"/>
    <w:rsid w:val="003D0748"/>
    <w:rsid w:val="003D0DB0"/>
    <w:rsid w:val="003D0FBC"/>
    <w:rsid w:val="003D2333"/>
    <w:rsid w:val="003D272F"/>
    <w:rsid w:val="003D2912"/>
    <w:rsid w:val="003D2FBA"/>
    <w:rsid w:val="003D3161"/>
    <w:rsid w:val="003D3227"/>
    <w:rsid w:val="003D3600"/>
    <w:rsid w:val="003D36B8"/>
    <w:rsid w:val="003D3A55"/>
    <w:rsid w:val="003D4034"/>
    <w:rsid w:val="003D408F"/>
    <w:rsid w:val="003D4257"/>
    <w:rsid w:val="003D4347"/>
    <w:rsid w:val="003D5393"/>
    <w:rsid w:val="003D5413"/>
    <w:rsid w:val="003D54E0"/>
    <w:rsid w:val="003D5996"/>
    <w:rsid w:val="003D5D5D"/>
    <w:rsid w:val="003D6163"/>
    <w:rsid w:val="003D6407"/>
    <w:rsid w:val="003D647A"/>
    <w:rsid w:val="003D6A90"/>
    <w:rsid w:val="003D6B1D"/>
    <w:rsid w:val="003D6E30"/>
    <w:rsid w:val="003D70B5"/>
    <w:rsid w:val="003D7638"/>
    <w:rsid w:val="003D7B41"/>
    <w:rsid w:val="003D7B45"/>
    <w:rsid w:val="003E03E3"/>
    <w:rsid w:val="003E05FE"/>
    <w:rsid w:val="003E0CD7"/>
    <w:rsid w:val="003E0DF7"/>
    <w:rsid w:val="003E14F0"/>
    <w:rsid w:val="003E1E5D"/>
    <w:rsid w:val="003E21E4"/>
    <w:rsid w:val="003E2784"/>
    <w:rsid w:val="003E2850"/>
    <w:rsid w:val="003E2D79"/>
    <w:rsid w:val="003E32D8"/>
    <w:rsid w:val="003E3A04"/>
    <w:rsid w:val="003E3B65"/>
    <w:rsid w:val="003E3E19"/>
    <w:rsid w:val="003E3E1E"/>
    <w:rsid w:val="003E427F"/>
    <w:rsid w:val="003E47DE"/>
    <w:rsid w:val="003E4CFE"/>
    <w:rsid w:val="003E4F42"/>
    <w:rsid w:val="003E5075"/>
    <w:rsid w:val="003E5233"/>
    <w:rsid w:val="003E5F95"/>
    <w:rsid w:val="003E61FD"/>
    <w:rsid w:val="003E67BC"/>
    <w:rsid w:val="003E68A8"/>
    <w:rsid w:val="003E6F0B"/>
    <w:rsid w:val="003E7503"/>
    <w:rsid w:val="003E7F82"/>
    <w:rsid w:val="003F0031"/>
    <w:rsid w:val="003F00D4"/>
    <w:rsid w:val="003F00DF"/>
    <w:rsid w:val="003F018C"/>
    <w:rsid w:val="003F09CB"/>
    <w:rsid w:val="003F10D3"/>
    <w:rsid w:val="003F1150"/>
    <w:rsid w:val="003F140D"/>
    <w:rsid w:val="003F143C"/>
    <w:rsid w:val="003F1548"/>
    <w:rsid w:val="003F176D"/>
    <w:rsid w:val="003F20AE"/>
    <w:rsid w:val="003F228F"/>
    <w:rsid w:val="003F274F"/>
    <w:rsid w:val="003F2B3D"/>
    <w:rsid w:val="003F3105"/>
    <w:rsid w:val="003F319D"/>
    <w:rsid w:val="003F3303"/>
    <w:rsid w:val="003F3328"/>
    <w:rsid w:val="003F33F8"/>
    <w:rsid w:val="003F3700"/>
    <w:rsid w:val="003F3C34"/>
    <w:rsid w:val="003F3ED7"/>
    <w:rsid w:val="003F4108"/>
    <w:rsid w:val="003F4172"/>
    <w:rsid w:val="003F4222"/>
    <w:rsid w:val="003F4249"/>
    <w:rsid w:val="003F4251"/>
    <w:rsid w:val="003F461D"/>
    <w:rsid w:val="003F4940"/>
    <w:rsid w:val="003F4C90"/>
    <w:rsid w:val="003F5071"/>
    <w:rsid w:val="003F5086"/>
    <w:rsid w:val="003F550A"/>
    <w:rsid w:val="003F6888"/>
    <w:rsid w:val="003F6A02"/>
    <w:rsid w:val="003F6ECC"/>
    <w:rsid w:val="003F7EFA"/>
    <w:rsid w:val="00400C90"/>
    <w:rsid w:val="00402D65"/>
    <w:rsid w:val="00402E02"/>
    <w:rsid w:val="004030FE"/>
    <w:rsid w:val="00403364"/>
    <w:rsid w:val="00403780"/>
    <w:rsid w:val="00403941"/>
    <w:rsid w:val="00403971"/>
    <w:rsid w:val="00404027"/>
    <w:rsid w:val="0040415C"/>
    <w:rsid w:val="00404D74"/>
    <w:rsid w:val="0040518A"/>
    <w:rsid w:val="004056F3"/>
    <w:rsid w:val="00405F4B"/>
    <w:rsid w:val="0040616D"/>
    <w:rsid w:val="00406EF0"/>
    <w:rsid w:val="00407760"/>
    <w:rsid w:val="00410CB2"/>
    <w:rsid w:val="00411285"/>
    <w:rsid w:val="00411BB1"/>
    <w:rsid w:val="00411C96"/>
    <w:rsid w:val="00411CA9"/>
    <w:rsid w:val="004126A1"/>
    <w:rsid w:val="00412A32"/>
    <w:rsid w:val="00414210"/>
    <w:rsid w:val="0041450E"/>
    <w:rsid w:val="00414514"/>
    <w:rsid w:val="004148E1"/>
    <w:rsid w:val="00414FE4"/>
    <w:rsid w:val="0041506A"/>
    <w:rsid w:val="00415370"/>
    <w:rsid w:val="004155B8"/>
    <w:rsid w:val="00415762"/>
    <w:rsid w:val="00415781"/>
    <w:rsid w:val="00415800"/>
    <w:rsid w:val="00415A0B"/>
    <w:rsid w:val="00415C60"/>
    <w:rsid w:val="00415CE0"/>
    <w:rsid w:val="00415F80"/>
    <w:rsid w:val="00416BB6"/>
    <w:rsid w:val="00416F40"/>
    <w:rsid w:val="00417769"/>
    <w:rsid w:val="00417A3D"/>
    <w:rsid w:val="004202A7"/>
    <w:rsid w:val="004207F5"/>
    <w:rsid w:val="00420819"/>
    <w:rsid w:val="00420A85"/>
    <w:rsid w:val="004215BB"/>
    <w:rsid w:val="0042173F"/>
    <w:rsid w:val="0042192C"/>
    <w:rsid w:val="00421994"/>
    <w:rsid w:val="00421A87"/>
    <w:rsid w:val="00421EF2"/>
    <w:rsid w:val="00421F34"/>
    <w:rsid w:val="0042241E"/>
    <w:rsid w:val="00422668"/>
    <w:rsid w:val="00422EC3"/>
    <w:rsid w:val="004230B6"/>
    <w:rsid w:val="004235A9"/>
    <w:rsid w:val="004235EE"/>
    <w:rsid w:val="00423623"/>
    <w:rsid w:val="00423782"/>
    <w:rsid w:val="00423AE9"/>
    <w:rsid w:val="00423F33"/>
    <w:rsid w:val="00424B17"/>
    <w:rsid w:val="00424CC9"/>
    <w:rsid w:val="00424D00"/>
    <w:rsid w:val="0042548C"/>
    <w:rsid w:val="004259E2"/>
    <w:rsid w:val="00426176"/>
    <w:rsid w:val="004266B1"/>
    <w:rsid w:val="00426865"/>
    <w:rsid w:val="00426892"/>
    <w:rsid w:val="00426979"/>
    <w:rsid w:val="00426CA0"/>
    <w:rsid w:val="004271DD"/>
    <w:rsid w:val="00427460"/>
    <w:rsid w:val="0042747D"/>
    <w:rsid w:val="004277E6"/>
    <w:rsid w:val="00427B6B"/>
    <w:rsid w:val="00430622"/>
    <w:rsid w:val="004306B1"/>
    <w:rsid w:val="004311CE"/>
    <w:rsid w:val="0043166B"/>
    <w:rsid w:val="004316D2"/>
    <w:rsid w:val="00431711"/>
    <w:rsid w:val="00431AC1"/>
    <w:rsid w:val="00431C7A"/>
    <w:rsid w:val="00432031"/>
    <w:rsid w:val="004322D7"/>
    <w:rsid w:val="00432468"/>
    <w:rsid w:val="00432989"/>
    <w:rsid w:val="004329C9"/>
    <w:rsid w:val="00432C23"/>
    <w:rsid w:val="00432CD5"/>
    <w:rsid w:val="00432D2B"/>
    <w:rsid w:val="004335DE"/>
    <w:rsid w:val="004338F0"/>
    <w:rsid w:val="00433C2C"/>
    <w:rsid w:val="00434450"/>
    <w:rsid w:val="0043499F"/>
    <w:rsid w:val="00434AAB"/>
    <w:rsid w:val="00434F05"/>
    <w:rsid w:val="00435893"/>
    <w:rsid w:val="00435997"/>
    <w:rsid w:val="00435F06"/>
    <w:rsid w:val="004363FA"/>
    <w:rsid w:val="004364CC"/>
    <w:rsid w:val="00436B89"/>
    <w:rsid w:val="004376C0"/>
    <w:rsid w:val="00437875"/>
    <w:rsid w:val="004405B0"/>
    <w:rsid w:val="00440CB7"/>
    <w:rsid w:val="00440CCD"/>
    <w:rsid w:val="00440D3E"/>
    <w:rsid w:val="00440FFC"/>
    <w:rsid w:val="00441440"/>
    <w:rsid w:val="0044169D"/>
    <w:rsid w:val="004417BD"/>
    <w:rsid w:val="00441A35"/>
    <w:rsid w:val="00441FF9"/>
    <w:rsid w:val="00442503"/>
    <w:rsid w:val="00442A49"/>
    <w:rsid w:val="00442B54"/>
    <w:rsid w:val="00442D02"/>
    <w:rsid w:val="004431D7"/>
    <w:rsid w:val="0044363A"/>
    <w:rsid w:val="004436E9"/>
    <w:rsid w:val="004437B2"/>
    <w:rsid w:val="0044382F"/>
    <w:rsid w:val="004438F7"/>
    <w:rsid w:val="00443D71"/>
    <w:rsid w:val="00443DE8"/>
    <w:rsid w:val="0044408A"/>
    <w:rsid w:val="004442EB"/>
    <w:rsid w:val="004443A5"/>
    <w:rsid w:val="004448B1"/>
    <w:rsid w:val="00444C64"/>
    <w:rsid w:val="0044507C"/>
    <w:rsid w:val="0044541F"/>
    <w:rsid w:val="00445A50"/>
    <w:rsid w:val="00445B86"/>
    <w:rsid w:val="00445DF5"/>
    <w:rsid w:val="00445E95"/>
    <w:rsid w:val="004473A9"/>
    <w:rsid w:val="0044784A"/>
    <w:rsid w:val="004510A4"/>
    <w:rsid w:val="0045135E"/>
    <w:rsid w:val="00451544"/>
    <w:rsid w:val="004515FF"/>
    <w:rsid w:val="004525DD"/>
    <w:rsid w:val="004535B0"/>
    <w:rsid w:val="00453A9A"/>
    <w:rsid w:val="00453E31"/>
    <w:rsid w:val="00454597"/>
    <w:rsid w:val="0045467E"/>
    <w:rsid w:val="004548E6"/>
    <w:rsid w:val="0045493D"/>
    <w:rsid w:val="004552F4"/>
    <w:rsid w:val="0045541F"/>
    <w:rsid w:val="0045543A"/>
    <w:rsid w:val="0045547F"/>
    <w:rsid w:val="004556D9"/>
    <w:rsid w:val="00455D22"/>
    <w:rsid w:val="004561F9"/>
    <w:rsid w:val="0045637C"/>
    <w:rsid w:val="0045669F"/>
    <w:rsid w:val="0045695D"/>
    <w:rsid w:val="004610C6"/>
    <w:rsid w:val="004619CE"/>
    <w:rsid w:val="00461BF2"/>
    <w:rsid w:val="004626F8"/>
    <w:rsid w:val="00462CAE"/>
    <w:rsid w:val="00462D35"/>
    <w:rsid w:val="004630E2"/>
    <w:rsid w:val="00463416"/>
    <w:rsid w:val="00463540"/>
    <w:rsid w:val="00463869"/>
    <w:rsid w:val="00463A89"/>
    <w:rsid w:val="00463CF9"/>
    <w:rsid w:val="00463E79"/>
    <w:rsid w:val="00463EAF"/>
    <w:rsid w:val="00464A9C"/>
    <w:rsid w:val="00464BE1"/>
    <w:rsid w:val="00464E8F"/>
    <w:rsid w:val="00464F23"/>
    <w:rsid w:val="0046569F"/>
    <w:rsid w:val="004657B3"/>
    <w:rsid w:val="00465E1C"/>
    <w:rsid w:val="00466341"/>
    <w:rsid w:val="00466395"/>
    <w:rsid w:val="004667A9"/>
    <w:rsid w:val="00466B69"/>
    <w:rsid w:val="00466C93"/>
    <w:rsid w:val="004678C8"/>
    <w:rsid w:val="00467BC2"/>
    <w:rsid w:val="00467C44"/>
    <w:rsid w:val="00467CFB"/>
    <w:rsid w:val="00470418"/>
    <w:rsid w:val="00470ED0"/>
    <w:rsid w:val="00470F62"/>
    <w:rsid w:val="00471065"/>
    <w:rsid w:val="00471E81"/>
    <w:rsid w:val="004724AF"/>
    <w:rsid w:val="00472620"/>
    <w:rsid w:val="004727C4"/>
    <w:rsid w:val="004727E8"/>
    <w:rsid w:val="00472CD7"/>
    <w:rsid w:val="0047322A"/>
    <w:rsid w:val="00473379"/>
    <w:rsid w:val="0047352D"/>
    <w:rsid w:val="0047385B"/>
    <w:rsid w:val="00474232"/>
    <w:rsid w:val="004743CB"/>
    <w:rsid w:val="00474B50"/>
    <w:rsid w:val="00475898"/>
    <w:rsid w:val="00475DCF"/>
    <w:rsid w:val="0047643C"/>
    <w:rsid w:val="0047652F"/>
    <w:rsid w:val="00476821"/>
    <w:rsid w:val="00476A79"/>
    <w:rsid w:val="00476FE9"/>
    <w:rsid w:val="0047742A"/>
    <w:rsid w:val="00477597"/>
    <w:rsid w:val="00477E4A"/>
    <w:rsid w:val="00477EE3"/>
    <w:rsid w:val="00477FAF"/>
    <w:rsid w:val="0048027B"/>
    <w:rsid w:val="0048050F"/>
    <w:rsid w:val="004809AD"/>
    <w:rsid w:val="00481213"/>
    <w:rsid w:val="00481272"/>
    <w:rsid w:val="004817B5"/>
    <w:rsid w:val="00481E94"/>
    <w:rsid w:val="00482199"/>
    <w:rsid w:val="0048231B"/>
    <w:rsid w:val="00482478"/>
    <w:rsid w:val="00482736"/>
    <w:rsid w:val="00482CCF"/>
    <w:rsid w:val="00482DF5"/>
    <w:rsid w:val="00483131"/>
    <w:rsid w:val="00483170"/>
    <w:rsid w:val="00483508"/>
    <w:rsid w:val="0048383D"/>
    <w:rsid w:val="004844AC"/>
    <w:rsid w:val="00484509"/>
    <w:rsid w:val="004851E8"/>
    <w:rsid w:val="00485580"/>
    <w:rsid w:val="00485811"/>
    <w:rsid w:val="00485DD7"/>
    <w:rsid w:val="00485E3C"/>
    <w:rsid w:val="00485F4D"/>
    <w:rsid w:val="00486A68"/>
    <w:rsid w:val="00486B09"/>
    <w:rsid w:val="00486C0C"/>
    <w:rsid w:val="00487644"/>
    <w:rsid w:val="00487CFA"/>
    <w:rsid w:val="004901CA"/>
    <w:rsid w:val="00490A10"/>
    <w:rsid w:val="00490A62"/>
    <w:rsid w:val="00490E9E"/>
    <w:rsid w:val="00491F9F"/>
    <w:rsid w:val="004920D9"/>
    <w:rsid w:val="0049242A"/>
    <w:rsid w:val="00492735"/>
    <w:rsid w:val="00492A01"/>
    <w:rsid w:val="00492B25"/>
    <w:rsid w:val="00492EC7"/>
    <w:rsid w:val="004931EB"/>
    <w:rsid w:val="004934C8"/>
    <w:rsid w:val="00493BA8"/>
    <w:rsid w:val="00493C96"/>
    <w:rsid w:val="004945D4"/>
    <w:rsid w:val="00494932"/>
    <w:rsid w:val="00494D50"/>
    <w:rsid w:val="00494FC9"/>
    <w:rsid w:val="00494FF0"/>
    <w:rsid w:val="004950F8"/>
    <w:rsid w:val="00495211"/>
    <w:rsid w:val="004956F2"/>
    <w:rsid w:val="00495B23"/>
    <w:rsid w:val="00495E19"/>
    <w:rsid w:val="00496087"/>
    <w:rsid w:val="00496369"/>
    <w:rsid w:val="00496AD4"/>
    <w:rsid w:val="00496CBE"/>
    <w:rsid w:val="00497512"/>
    <w:rsid w:val="00497818"/>
    <w:rsid w:val="00497D2A"/>
    <w:rsid w:val="004A0324"/>
    <w:rsid w:val="004A034D"/>
    <w:rsid w:val="004A06B2"/>
    <w:rsid w:val="004A0BDB"/>
    <w:rsid w:val="004A0C25"/>
    <w:rsid w:val="004A0D79"/>
    <w:rsid w:val="004A0E76"/>
    <w:rsid w:val="004A1222"/>
    <w:rsid w:val="004A1EA2"/>
    <w:rsid w:val="004A201B"/>
    <w:rsid w:val="004A2604"/>
    <w:rsid w:val="004A27B0"/>
    <w:rsid w:val="004A2B6F"/>
    <w:rsid w:val="004A37AE"/>
    <w:rsid w:val="004A3807"/>
    <w:rsid w:val="004A3A38"/>
    <w:rsid w:val="004A3BB0"/>
    <w:rsid w:val="004A3BB4"/>
    <w:rsid w:val="004A4377"/>
    <w:rsid w:val="004A4D2B"/>
    <w:rsid w:val="004A525D"/>
    <w:rsid w:val="004A52C4"/>
    <w:rsid w:val="004A53C4"/>
    <w:rsid w:val="004A57EB"/>
    <w:rsid w:val="004A5824"/>
    <w:rsid w:val="004A6211"/>
    <w:rsid w:val="004B0095"/>
    <w:rsid w:val="004B02EA"/>
    <w:rsid w:val="004B181D"/>
    <w:rsid w:val="004B1CAB"/>
    <w:rsid w:val="004B204F"/>
    <w:rsid w:val="004B274E"/>
    <w:rsid w:val="004B36ED"/>
    <w:rsid w:val="004B398F"/>
    <w:rsid w:val="004B3D44"/>
    <w:rsid w:val="004B40A0"/>
    <w:rsid w:val="004B41B5"/>
    <w:rsid w:val="004B4C04"/>
    <w:rsid w:val="004B5171"/>
    <w:rsid w:val="004B57A6"/>
    <w:rsid w:val="004B5895"/>
    <w:rsid w:val="004B5F8F"/>
    <w:rsid w:val="004B612E"/>
    <w:rsid w:val="004B6202"/>
    <w:rsid w:val="004B623B"/>
    <w:rsid w:val="004B63F2"/>
    <w:rsid w:val="004B6D84"/>
    <w:rsid w:val="004B7226"/>
    <w:rsid w:val="004C0625"/>
    <w:rsid w:val="004C1315"/>
    <w:rsid w:val="004C1931"/>
    <w:rsid w:val="004C1BAB"/>
    <w:rsid w:val="004C1E13"/>
    <w:rsid w:val="004C1EA7"/>
    <w:rsid w:val="004C2101"/>
    <w:rsid w:val="004C21B7"/>
    <w:rsid w:val="004C2A81"/>
    <w:rsid w:val="004C31EF"/>
    <w:rsid w:val="004C3BF9"/>
    <w:rsid w:val="004C3E02"/>
    <w:rsid w:val="004C3EE4"/>
    <w:rsid w:val="004C4010"/>
    <w:rsid w:val="004C422D"/>
    <w:rsid w:val="004C4CEB"/>
    <w:rsid w:val="004C56BE"/>
    <w:rsid w:val="004C5CF1"/>
    <w:rsid w:val="004C6024"/>
    <w:rsid w:val="004C667A"/>
    <w:rsid w:val="004C66A9"/>
    <w:rsid w:val="004C6D8E"/>
    <w:rsid w:val="004C7634"/>
    <w:rsid w:val="004C76FA"/>
    <w:rsid w:val="004C7A27"/>
    <w:rsid w:val="004C7CAC"/>
    <w:rsid w:val="004C7CE4"/>
    <w:rsid w:val="004D000F"/>
    <w:rsid w:val="004D0538"/>
    <w:rsid w:val="004D0551"/>
    <w:rsid w:val="004D07A8"/>
    <w:rsid w:val="004D0D3E"/>
    <w:rsid w:val="004D1BE7"/>
    <w:rsid w:val="004D28EF"/>
    <w:rsid w:val="004D2A4E"/>
    <w:rsid w:val="004D3733"/>
    <w:rsid w:val="004D3A58"/>
    <w:rsid w:val="004D414F"/>
    <w:rsid w:val="004D466E"/>
    <w:rsid w:val="004D47CE"/>
    <w:rsid w:val="004D49C4"/>
    <w:rsid w:val="004D4AE0"/>
    <w:rsid w:val="004D4CF1"/>
    <w:rsid w:val="004D5A88"/>
    <w:rsid w:val="004D6019"/>
    <w:rsid w:val="004D60A0"/>
    <w:rsid w:val="004D69A2"/>
    <w:rsid w:val="004D6FAD"/>
    <w:rsid w:val="004D7BF4"/>
    <w:rsid w:val="004D7C41"/>
    <w:rsid w:val="004D7C92"/>
    <w:rsid w:val="004E0345"/>
    <w:rsid w:val="004E0471"/>
    <w:rsid w:val="004E077B"/>
    <w:rsid w:val="004E0A57"/>
    <w:rsid w:val="004E0BD9"/>
    <w:rsid w:val="004E0E95"/>
    <w:rsid w:val="004E1509"/>
    <w:rsid w:val="004E18E0"/>
    <w:rsid w:val="004E19BA"/>
    <w:rsid w:val="004E1AF8"/>
    <w:rsid w:val="004E23D0"/>
    <w:rsid w:val="004E242A"/>
    <w:rsid w:val="004E242C"/>
    <w:rsid w:val="004E2BAA"/>
    <w:rsid w:val="004E3061"/>
    <w:rsid w:val="004E35BF"/>
    <w:rsid w:val="004E38B2"/>
    <w:rsid w:val="004E3936"/>
    <w:rsid w:val="004E42B3"/>
    <w:rsid w:val="004E45B6"/>
    <w:rsid w:val="004E4AD8"/>
    <w:rsid w:val="004E4E4F"/>
    <w:rsid w:val="004E542B"/>
    <w:rsid w:val="004E5760"/>
    <w:rsid w:val="004E57F7"/>
    <w:rsid w:val="004E58E4"/>
    <w:rsid w:val="004E5926"/>
    <w:rsid w:val="004E5D9C"/>
    <w:rsid w:val="004E6B8E"/>
    <w:rsid w:val="004E6E2E"/>
    <w:rsid w:val="004E7388"/>
    <w:rsid w:val="004E7E87"/>
    <w:rsid w:val="004F031D"/>
    <w:rsid w:val="004F0452"/>
    <w:rsid w:val="004F0543"/>
    <w:rsid w:val="004F0DDD"/>
    <w:rsid w:val="004F0E25"/>
    <w:rsid w:val="004F104E"/>
    <w:rsid w:val="004F1106"/>
    <w:rsid w:val="004F114F"/>
    <w:rsid w:val="004F1E2E"/>
    <w:rsid w:val="004F1F62"/>
    <w:rsid w:val="004F243E"/>
    <w:rsid w:val="004F25B7"/>
    <w:rsid w:val="004F2F11"/>
    <w:rsid w:val="004F3899"/>
    <w:rsid w:val="004F4435"/>
    <w:rsid w:val="004F48D9"/>
    <w:rsid w:val="004F4A26"/>
    <w:rsid w:val="004F4ACD"/>
    <w:rsid w:val="004F4F3D"/>
    <w:rsid w:val="004F578B"/>
    <w:rsid w:val="004F63F8"/>
    <w:rsid w:val="004F713A"/>
    <w:rsid w:val="004F72AD"/>
    <w:rsid w:val="004F7408"/>
    <w:rsid w:val="004F7BA5"/>
    <w:rsid w:val="00500035"/>
    <w:rsid w:val="00500BDE"/>
    <w:rsid w:val="00500E97"/>
    <w:rsid w:val="00500F7A"/>
    <w:rsid w:val="005011A4"/>
    <w:rsid w:val="005012AD"/>
    <w:rsid w:val="00501F97"/>
    <w:rsid w:val="00502122"/>
    <w:rsid w:val="0050241C"/>
    <w:rsid w:val="005027BB"/>
    <w:rsid w:val="0050319C"/>
    <w:rsid w:val="005037E1"/>
    <w:rsid w:val="00503B5C"/>
    <w:rsid w:val="00503B96"/>
    <w:rsid w:val="0050456A"/>
    <w:rsid w:val="00504E96"/>
    <w:rsid w:val="00505563"/>
    <w:rsid w:val="00505E1D"/>
    <w:rsid w:val="005068E1"/>
    <w:rsid w:val="00506918"/>
    <w:rsid w:val="00506CE0"/>
    <w:rsid w:val="005070EA"/>
    <w:rsid w:val="0050760D"/>
    <w:rsid w:val="005076E3"/>
    <w:rsid w:val="005077C5"/>
    <w:rsid w:val="00507A65"/>
    <w:rsid w:val="00510870"/>
    <w:rsid w:val="005110BA"/>
    <w:rsid w:val="0051168A"/>
    <w:rsid w:val="00511C8C"/>
    <w:rsid w:val="00511FDA"/>
    <w:rsid w:val="00512085"/>
    <w:rsid w:val="005122F4"/>
    <w:rsid w:val="00513007"/>
    <w:rsid w:val="00513BC7"/>
    <w:rsid w:val="00514197"/>
    <w:rsid w:val="005141DA"/>
    <w:rsid w:val="00514DDB"/>
    <w:rsid w:val="00514E36"/>
    <w:rsid w:val="00515316"/>
    <w:rsid w:val="00515422"/>
    <w:rsid w:val="005156A6"/>
    <w:rsid w:val="00515794"/>
    <w:rsid w:val="0051636C"/>
    <w:rsid w:val="00516393"/>
    <w:rsid w:val="005170C9"/>
    <w:rsid w:val="0052073C"/>
    <w:rsid w:val="00520B4F"/>
    <w:rsid w:val="00521048"/>
    <w:rsid w:val="00522423"/>
    <w:rsid w:val="00522DB0"/>
    <w:rsid w:val="00523306"/>
    <w:rsid w:val="00523B66"/>
    <w:rsid w:val="00523EF2"/>
    <w:rsid w:val="00523F51"/>
    <w:rsid w:val="00524016"/>
    <w:rsid w:val="005244A4"/>
    <w:rsid w:val="00524AD7"/>
    <w:rsid w:val="00525727"/>
    <w:rsid w:val="0052591E"/>
    <w:rsid w:val="00525B43"/>
    <w:rsid w:val="00525F07"/>
    <w:rsid w:val="0052639A"/>
    <w:rsid w:val="00526477"/>
    <w:rsid w:val="005265B9"/>
    <w:rsid w:val="00526691"/>
    <w:rsid w:val="00526D7E"/>
    <w:rsid w:val="00526E4C"/>
    <w:rsid w:val="00527AE0"/>
    <w:rsid w:val="0053027E"/>
    <w:rsid w:val="005311DA"/>
    <w:rsid w:val="005312E8"/>
    <w:rsid w:val="005313F7"/>
    <w:rsid w:val="00531ACC"/>
    <w:rsid w:val="00531E8D"/>
    <w:rsid w:val="00531F39"/>
    <w:rsid w:val="00532607"/>
    <w:rsid w:val="00532767"/>
    <w:rsid w:val="005328BA"/>
    <w:rsid w:val="0053299E"/>
    <w:rsid w:val="00532B70"/>
    <w:rsid w:val="00532FD7"/>
    <w:rsid w:val="005333EA"/>
    <w:rsid w:val="005336C1"/>
    <w:rsid w:val="00533920"/>
    <w:rsid w:val="00533DC4"/>
    <w:rsid w:val="0053480E"/>
    <w:rsid w:val="00534CB2"/>
    <w:rsid w:val="00534ED5"/>
    <w:rsid w:val="00535324"/>
    <w:rsid w:val="0053540E"/>
    <w:rsid w:val="00535521"/>
    <w:rsid w:val="00535969"/>
    <w:rsid w:val="005359D9"/>
    <w:rsid w:val="00535D6D"/>
    <w:rsid w:val="00535F4E"/>
    <w:rsid w:val="0053602B"/>
    <w:rsid w:val="005363C4"/>
    <w:rsid w:val="005366F8"/>
    <w:rsid w:val="0053678B"/>
    <w:rsid w:val="00536D31"/>
    <w:rsid w:val="00536DEF"/>
    <w:rsid w:val="005371C4"/>
    <w:rsid w:val="005371D4"/>
    <w:rsid w:val="0053749F"/>
    <w:rsid w:val="005404B0"/>
    <w:rsid w:val="0054125E"/>
    <w:rsid w:val="005412E1"/>
    <w:rsid w:val="005418B9"/>
    <w:rsid w:val="005419F2"/>
    <w:rsid w:val="00541C30"/>
    <w:rsid w:val="0054209B"/>
    <w:rsid w:val="0054216F"/>
    <w:rsid w:val="005422EB"/>
    <w:rsid w:val="0054294B"/>
    <w:rsid w:val="00542969"/>
    <w:rsid w:val="00542993"/>
    <w:rsid w:val="00542D37"/>
    <w:rsid w:val="00542F18"/>
    <w:rsid w:val="00543397"/>
    <w:rsid w:val="005439A1"/>
    <w:rsid w:val="00543C00"/>
    <w:rsid w:val="00544492"/>
    <w:rsid w:val="005446D3"/>
    <w:rsid w:val="00544824"/>
    <w:rsid w:val="00544853"/>
    <w:rsid w:val="00544984"/>
    <w:rsid w:val="00544B83"/>
    <w:rsid w:val="005450E2"/>
    <w:rsid w:val="005451BB"/>
    <w:rsid w:val="005452E2"/>
    <w:rsid w:val="005453A0"/>
    <w:rsid w:val="005456F8"/>
    <w:rsid w:val="0054576E"/>
    <w:rsid w:val="00545F3B"/>
    <w:rsid w:val="0054750F"/>
    <w:rsid w:val="00547A40"/>
    <w:rsid w:val="00547AC8"/>
    <w:rsid w:val="00547E4C"/>
    <w:rsid w:val="0055001C"/>
    <w:rsid w:val="005500B1"/>
    <w:rsid w:val="0055086B"/>
    <w:rsid w:val="005508E3"/>
    <w:rsid w:val="00550D43"/>
    <w:rsid w:val="00550DD7"/>
    <w:rsid w:val="0055129C"/>
    <w:rsid w:val="005512D5"/>
    <w:rsid w:val="0055175A"/>
    <w:rsid w:val="00551B0D"/>
    <w:rsid w:val="00551DEC"/>
    <w:rsid w:val="00552096"/>
    <w:rsid w:val="0055245B"/>
    <w:rsid w:val="0055255F"/>
    <w:rsid w:val="00552717"/>
    <w:rsid w:val="005529C3"/>
    <w:rsid w:val="005529FC"/>
    <w:rsid w:val="00553918"/>
    <w:rsid w:val="00553C59"/>
    <w:rsid w:val="00553D54"/>
    <w:rsid w:val="00553F9F"/>
    <w:rsid w:val="005546BF"/>
    <w:rsid w:val="00554CB6"/>
    <w:rsid w:val="00554FC3"/>
    <w:rsid w:val="00555523"/>
    <w:rsid w:val="00555E0D"/>
    <w:rsid w:val="00556BF7"/>
    <w:rsid w:val="00556E02"/>
    <w:rsid w:val="0055756C"/>
    <w:rsid w:val="0055764E"/>
    <w:rsid w:val="0055783F"/>
    <w:rsid w:val="00557CF4"/>
    <w:rsid w:val="00557D04"/>
    <w:rsid w:val="00560528"/>
    <w:rsid w:val="00560A5E"/>
    <w:rsid w:val="00560D92"/>
    <w:rsid w:val="005615E3"/>
    <w:rsid w:val="00561923"/>
    <w:rsid w:val="005619E1"/>
    <w:rsid w:val="00561D24"/>
    <w:rsid w:val="0056295E"/>
    <w:rsid w:val="00562ED2"/>
    <w:rsid w:val="0056310A"/>
    <w:rsid w:val="00563B00"/>
    <w:rsid w:val="00563C49"/>
    <w:rsid w:val="0056555E"/>
    <w:rsid w:val="0056592B"/>
    <w:rsid w:val="00565AC1"/>
    <w:rsid w:val="00565B0F"/>
    <w:rsid w:val="00565D0D"/>
    <w:rsid w:val="00566286"/>
    <w:rsid w:val="005668DF"/>
    <w:rsid w:val="00566920"/>
    <w:rsid w:val="0056710D"/>
    <w:rsid w:val="00567223"/>
    <w:rsid w:val="00567A04"/>
    <w:rsid w:val="00567F76"/>
    <w:rsid w:val="00570215"/>
    <w:rsid w:val="00570239"/>
    <w:rsid w:val="005704CB"/>
    <w:rsid w:val="00570D7F"/>
    <w:rsid w:val="005710A9"/>
    <w:rsid w:val="005711C5"/>
    <w:rsid w:val="00571718"/>
    <w:rsid w:val="0057178D"/>
    <w:rsid w:val="00571D59"/>
    <w:rsid w:val="00571DED"/>
    <w:rsid w:val="00571F91"/>
    <w:rsid w:val="005725C5"/>
    <w:rsid w:val="00572CF9"/>
    <w:rsid w:val="00572E3E"/>
    <w:rsid w:val="00573335"/>
    <w:rsid w:val="00573345"/>
    <w:rsid w:val="00573619"/>
    <w:rsid w:val="005737F5"/>
    <w:rsid w:val="005741C2"/>
    <w:rsid w:val="00574209"/>
    <w:rsid w:val="0057420B"/>
    <w:rsid w:val="0057434B"/>
    <w:rsid w:val="005747D3"/>
    <w:rsid w:val="0057571E"/>
    <w:rsid w:val="00575951"/>
    <w:rsid w:val="00576330"/>
    <w:rsid w:val="0057657F"/>
    <w:rsid w:val="00577962"/>
    <w:rsid w:val="00577E70"/>
    <w:rsid w:val="00577E77"/>
    <w:rsid w:val="00580280"/>
    <w:rsid w:val="0058031C"/>
    <w:rsid w:val="005806CF"/>
    <w:rsid w:val="0058107A"/>
    <w:rsid w:val="0058135A"/>
    <w:rsid w:val="005815FE"/>
    <w:rsid w:val="005825FB"/>
    <w:rsid w:val="005827AE"/>
    <w:rsid w:val="0058298F"/>
    <w:rsid w:val="00582C36"/>
    <w:rsid w:val="00583AB1"/>
    <w:rsid w:val="00583B4D"/>
    <w:rsid w:val="00583FDC"/>
    <w:rsid w:val="00584058"/>
    <w:rsid w:val="005847E2"/>
    <w:rsid w:val="00584E0C"/>
    <w:rsid w:val="00585571"/>
    <w:rsid w:val="005855F8"/>
    <w:rsid w:val="00585991"/>
    <w:rsid w:val="00585B91"/>
    <w:rsid w:val="0058699A"/>
    <w:rsid w:val="005869CA"/>
    <w:rsid w:val="00586BF1"/>
    <w:rsid w:val="00586EB2"/>
    <w:rsid w:val="005872CC"/>
    <w:rsid w:val="0058745C"/>
    <w:rsid w:val="00587AE1"/>
    <w:rsid w:val="0059039A"/>
    <w:rsid w:val="005903E4"/>
    <w:rsid w:val="00590565"/>
    <w:rsid w:val="00590954"/>
    <w:rsid w:val="00590FEE"/>
    <w:rsid w:val="00591256"/>
    <w:rsid w:val="005917DF"/>
    <w:rsid w:val="00592899"/>
    <w:rsid w:val="00593386"/>
    <w:rsid w:val="00593C6E"/>
    <w:rsid w:val="00593F3D"/>
    <w:rsid w:val="0059424C"/>
    <w:rsid w:val="005943AE"/>
    <w:rsid w:val="0059442B"/>
    <w:rsid w:val="005946CA"/>
    <w:rsid w:val="00594826"/>
    <w:rsid w:val="0059494C"/>
    <w:rsid w:val="005950D6"/>
    <w:rsid w:val="00595486"/>
    <w:rsid w:val="005958D0"/>
    <w:rsid w:val="005962B6"/>
    <w:rsid w:val="00596ED3"/>
    <w:rsid w:val="0059751C"/>
    <w:rsid w:val="00597827"/>
    <w:rsid w:val="0059786C"/>
    <w:rsid w:val="00597919"/>
    <w:rsid w:val="005A0000"/>
    <w:rsid w:val="005A03A2"/>
    <w:rsid w:val="005A0506"/>
    <w:rsid w:val="005A08FB"/>
    <w:rsid w:val="005A0B9F"/>
    <w:rsid w:val="005A0C48"/>
    <w:rsid w:val="005A0D08"/>
    <w:rsid w:val="005A0D31"/>
    <w:rsid w:val="005A1625"/>
    <w:rsid w:val="005A2D88"/>
    <w:rsid w:val="005A2FCE"/>
    <w:rsid w:val="005A3095"/>
    <w:rsid w:val="005A3ACA"/>
    <w:rsid w:val="005A3B1B"/>
    <w:rsid w:val="005A42FD"/>
    <w:rsid w:val="005A4385"/>
    <w:rsid w:val="005A4707"/>
    <w:rsid w:val="005A496B"/>
    <w:rsid w:val="005A4CEF"/>
    <w:rsid w:val="005A5171"/>
    <w:rsid w:val="005A5815"/>
    <w:rsid w:val="005A5D1A"/>
    <w:rsid w:val="005A6089"/>
    <w:rsid w:val="005A63D8"/>
    <w:rsid w:val="005A73D7"/>
    <w:rsid w:val="005A7527"/>
    <w:rsid w:val="005A7DBE"/>
    <w:rsid w:val="005A7E63"/>
    <w:rsid w:val="005B04DF"/>
    <w:rsid w:val="005B075B"/>
    <w:rsid w:val="005B1082"/>
    <w:rsid w:val="005B152A"/>
    <w:rsid w:val="005B1EB5"/>
    <w:rsid w:val="005B21E6"/>
    <w:rsid w:val="005B2378"/>
    <w:rsid w:val="005B270C"/>
    <w:rsid w:val="005B2C3A"/>
    <w:rsid w:val="005B32CE"/>
    <w:rsid w:val="005B33DC"/>
    <w:rsid w:val="005B3479"/>
    <w:rsid w:val="005B34EE"/>
    <w:rsid w:val="005B3568"/>
    <w:rsid w:val="005B3606"/>
    <w:rsid w:val="005B3972"/>
    <w:rsid w:val="005B3ED7"/>
    <w:rsid w:val="005B446E"/>
    <w:rsid w:val="005B4943"/>
    <w:rsid w:val="005B49B6"/>
    <w:rsid w:val="005B4A45"/>
    <w:rsid w:val="005B4D55"/>
    <w:rsid w:val="005B54AB"/>
    <w:rsid w:val="005B5D5E"/>
    <w:rsid w:val="005B5FDA"/>
    <w:rsid w:val="005B68A7"/>
    <w:rsid w:val="005B6986"/>
    <w:rsid w:val="005B6A61"/>
    <w:rsid w:val="005B6AD2"/>
    <w:rsid w:val="005B6E36"/>
    <w:rsid w:val="005B74C5"/>
    <w:rsid w:val="005B7733"/>
    <w:rsid w:val="005B7A22"/>
    <w:rsid w:val="005B7A4E"/>
    <w:rsid w:val="005C00C1"/>
    <w:rsid w:val="005C047D"/>
    <w:rsid w:val="005C04C8"/>
    <w:rsid w:val="005C0602"/>
    <w:rsid w:val="005C15E2"/>
    <w:rsid w:val="005C19A8"/>
    <w:rsid w:val="005C1D01"/>
    <w:rsid w:val="005C2114"/>
    <w:rsid w:val="005C2362"/>
    <w:rsid w:val="005C25DD"/>
    <w:rsid w:val="005C2B3C"/>
    <w:rsid w:val="005C2E28"/>
    <w:rsid w:val="005C3015"/>
    <w:rsid w:val="005C3069"/>
    <w:rsid w:val="005C343C"/>
    <w:rsid w:val="005C37F5"/>
    <w:rsid w:val="005C3C22"/>
    <w:rsid w:val="005C3DB2"/>
    <w:rsid w:val="005C3ECE"/>
    <w:rsid w:val="005C3F10"/>
    <w:rsid w:val="005C40C7"/>
    <w:rsid w:val="005C42B0"/>
    <w:rsid w:val="005C438F"/>
    <w:rsid w:val="005C4A96"/>
    <w:rsid w:val="005C4C7F"/>
    <w:rsid w:val="005C4CC6"/>
    <w:rsid w:val="005C5042"/>
    <w:rsid w:val="005C5B37"/>
    <w:rsid w:val="005C63FA"/>
    <w:rsid w:val="005C75D1"/>
    <w:rsid w:val="005C773A"/>
    <w:rsid w:val="005C7C28"/>
    <w:rsid w:val="005C7CB7"/>
    <w:rsid w:val="005C7DD7"/>
    <w:rsid w:val="005D00CC"/>
    <w:rsid w:val="005D0512"/>
    <w:rsid w:val="005D058E"/>
    <w:rsid w:val="005D082B"/>
    <w:rsid w:val="005D0976"/>
    <w:rsid w:val="005D097F"/>
    <w:rsid w:val="005D0E7C"/>
    <w:rsid w:val="005D0E9B"/>
    <w:rsid w:val="005D1576"/>
    <w:rsid w:val="005D1762"/>
    <w:rsid w:val="005D1D9F"/>
    <w:rsid w:val="005D2217"/>
    <w:rsid w:val="005D2507"/>
    <w:rsid w:val="005D2667"/>
    <w:rsid w:val="005D3E22"/>
    <w:rsid w:val="005D3EBB"/>
    <w:rsid w:val="005D42B4"/>
    <w:rsid w:val="005D4AFC"/>
    <w:rsid w:val="005D4CF7"/>
    <w:rsid w:val="005D4FEF"/>
    <w:rsid w:val="005D51D9"/>
    <w:rsid w:val="005D52FB"/>
    <w:rsid w:val="005D5347"/>
    <w:rsid w:val="005D570F"/>
    <w:rsid w:val="005D5CC5"/>
    <w:rsid w:val="005D5E85"/>
    <w:rsid w:val="005D6732"/>
    <w:rsid w:val="005D69FE"/>
    <w:rsid w:val="005D787B"/>
    <w:rsid w:val="005D7E93"/>
    <w:rsid w:val="005E0949"/>
    <w:rsid w:val="005E0E20"/>
    <w:rsid w:val="005E0F03"/>
    <w:rsid w:val="005E12BE"/>
    <w:rsid w:val="005E1374"/>
    <w:rsid w:val="005E1467"/>
    <w:rsid w:val="005E1949"/>
    <w:rsid w:val="005E3DF8"/>
    <w:rsid w:val="005E4660"/>
    <w:rsid w:val="005E4839"/>
    <w:rsid w:val="005E49F5"/>
    <w:rsid w:val="005E4B27"/>
    <w:rsid w:val="005E515C"/>
    <w:rsid w:val="005E6499"/>
    <w:rsid w:val="005E6505"/>
    <w:rsid w:val="005E7302"/>
    <w:rsid w:val="005E75E3"/>
    <w:rsid w:val="005E7BE6"/>
    <w:rsid w:val="005E7ECD"/>
    <w:rsid w:val="005E7F37"/>
    <w:rsid w:val="005F01E5"/>
    <w:rsid w:val="005F0215"/>
    <w:rsid w:val="005F0EF5"/>
    <w:rsid w:val="005F1267"/>
    <w:rsid w:val="005F1A0D"/>
    <w:rsid w:val="005F1D43"/>
    <w:rsid w:val="005F2A12"/>
    <w:rsid w:val="005F2EA8"/>
    <w:rsid w:val="005F322F"/>
    <w:rsid w:val="005F32AC"/>
    <w:rsid w:val="005F3322"/>
    <w:rsid w:val="005F3751"/>
    <w:rsid w:val="005F3EC3"/>
    <w:rsid w:val="005F4136"/>
    <w:rsid w:val="005F446D"/>
    <w:rsid w:val="005F4713"/>
    <w:rsid w:val="005F48D6"/>
    <w:rsid w:val="005F584B"/>
    <w:rsid w:val="005F637A"/>
    <w:rsid w:val="005F64C6"/>
    <w:rsid w:val="005F6B1A"/>
    <w:rsid w:val="005F6E55"/>
    <w:rsid w:val="005F72E7"/>
    <w:rsid w:val="005F76FB"/>
    <w:rsid w:val="005F784D"/>
    <w:rsid w:val="005F7A0B"/>
    <w:rsid w:val="00600089"/>
    <w:rsid w:val="00600677"/>
    <w:rsid w:val="0060081A"/>
    <w:rsid w:val="006008F1"/>
    <w:rsid w:val="00600C01"/>
    <w:rsid w:val="006014DB"/>
    <w:rsid w:val="00601735"/>
    <w:rsid w:val="006018B5"/>
    <w:rsid w:val="00601BE4"/>
    <w:rsid w:val="006022E0"/>
    <w:rsid w:val="006025F2"/>
    <w:rsid w:val="00602AC4"/>
    <w:rsid w:val="00602B46"/>
    <w:rsid w:val="00602BD2"/>
    <w:rsid w:val="00603480"/>
    <w:rsid w:val="006039B8"/>
    <w:rsid w:val="00603A79"/>
    <w:rsid w:val="00603D7A"/>
    <w:rsid w:val="00604174"/>
    <w:rsid w:val="00604356"/>
    <w:rsid w:val="00604B87"/>
    <w:rsid w:val="00605275"/>
    <w:rsid w:val="00605529"/>
    <w:rsid w:val="006059DB"/>
    <w:rsid w:val="00605A3E"/>
    <w:rsid w:val="00605CAB"/>
    <w:rsid w:val="00605DAE"/>
    <w:rsid w:val="00605DB9"/>
    <w:rsid w:val="0060650E"/>
    <w:rsid w:val="006065CF"/>
    <w:rsid w:val="00606604"/>
    <w:rsid w:val="00606E5D"/>
    <w:rsid w:val="0060725E"/>
    <w:rsid w:val="006076EF"/>
    <w:rsid w:val="006079C8"/>
    <w:rsid w:val="0061066F"/>
    <w:rsid w:val="00610CBA"/>
    <w:rsid w:val="00610F39"/>
    <w:rsid w:val="00611DEF"/>
    <w:rsid w:val="00612E59"/>
    <w:rsid w:val="0061315B"/>
    <w:rsid w:val="006132CC"/>
    <w:rsid w:val="0061352F"/>
    <w:rsid w:val="0061375F"/>
    <w:rsid w:val="00613C12"/>
    <w:rsid w:val="00613C47"/>
    <w:rsid w:val="00614071"/>
    <w:rsid w:val="00614292"/>
    <w:rsid w:val="006148AC"/>
    <w:rsid w:val="006153E5"/>
    <w:rsid w:val="00615525"/>
    <w:rsid w:val="00615544"/>
    <w:rsid w:val="00615651"/>
    <w:rsid w:val="00615654"/>
    <w:rsid w:val="00616201"/>
    <w:rsid w:val="00616225"/>
    <w:rsid w:val="00616C1C"/>
    <w:rsid w:val="00616D5E"/>
    <w:rsid w:val="00616EEC"/>
    <w:rsid w:val="00617270"/>
    <w:rsid w:val="00617A8B"/>
    <w:rsid w:val="00617C23"/>
    <w:rsid w:val="006200B8"/>
    <w:rsid w:val="0062040C"/>
    <w:rsid w:val="00620422"/>
    <w:rsid w:val="006208F9"/>
    <w:rsid w:val="00620A9B"/>
    <w:rsid w:val="00620CE4"/>
    <w:rsid w:val="006219A0"/>
    <w:rsid w:val="00621C45"/>
    <w:rsid w:val="00621F46"/>
    <w:rsid w:val="0062224C"/>
    <w:rsid w:val="006223C7"/>
    <w:rsid w:val="006227FA"/>
    <w:rsid w:val="00622FEA"/>
    <w:rsid w:val="0062349B"/>
    <w:rsid w:val="006239E8"/>
    <w:rsid w:val="00623B67"/>
    <w:rsid w:val="00623CDF"/>
    <w:rsid w:val="00623DB1"/>
    <w:rsid w:val="006241D2"/>
    <w:rsid w:val="006245F3"/>
    <w:rsid w:val="006249ED"/>
    <w:rsid w:val="00624B63"/>
    <w:rsid w:val="00624E6F"/>
    <w:rsid w:val="006252E6"/>
    <w:rsid w:val="0062552F"/>
    <w:rsid w:val="00625966"/>
    <w:rsid w:val="00625B47"/>
    <w:rsid w:val="00625D54"/>
    <w:rsid w:val="00625FC9"/>
    <w:rsid w:val="00626A11"/>
    <w:rsid w:val="00626BE7"/>
    <w:rsid w:val="00626C4B"/>
    <w:rsid w:val="0062726B"/>
    <w:rsid w:val="00627ED6"/>
    <w:rsid w:val="006304D2"/>
    <w:rsid w:val="00630C76"/>
    <w:rsid w:val="006319CA"/>
    <w:rsid w:val="00633107"/>
    <w:rsid w:val="00634498"/>
    <w:rsid w:val="00634932"/>
    <w:rsid w:val="00634EC0"/>
    <w:rsid w:val="00635D83"/>
    <w:rsid w:val="0063627F"/>
    <w:rsid w:val="006362FE"/>
    <w:rsid w:val="006364D6"/>
    <w:rsid w:val="00636C26"/>
    <w:rsid w:val="006370A6"/>
    <w:rsid w:val="00637988"/>
    <w:rsid w:val="00637A76"/>
    <w:rsid w:val="00637EE5"/>
    <w:rsid w:val="00640F42"/>
    <w:rsid w:val="006411E4"/>
    <w:rsid w:val="0064140B"/>
    <w:rsid w:val="00641868"/>
    <w:rsid w:val="006419A2"/>
    <w:rsid w:val="00641A7F"/>
    <w:rsid w:val="00641F02"/>
    <w:rsid w:val="0064266A"/>
    <w:rsid w:val="00642ADE"/>
    <w:rsid w:val="00642B24"/>
    <w:rsid w:val="00642D72"/>
    <w:rsid w:val="006431BC"/>
    <w:rsid w:val="00643671"/>
    <w:rsid w:val="00643819"/>
    <w:rsid w:val="00643B4C"/>
    <w:rsid w:val="00643F85"/>
    <w:rsid w:val="006443CB"/>
    <w:rsid w:val="00644A19"/>
    <w:rsid w:val="00644F80"/>
    <w:rsid w:val="00645874"/>
    <w:rsid w:val="00646076"/>
    <w:rsid w:val="006479E0"/>
    <w:rsid w:val="00647A43"/>
    <w:rsid w:val="00647D78"/>
    <w:rsid w:val="00647F7B"/>
    <w:rsid w:val="0065074A"/>
    <w:rsid w:val="00650DD0"/>
    <w:rsid w:val="00650E7A"/>
    <w:rsid w:val="00650EE4"/>
    <w:rsid w:val="0065124B"/>
    <w:rsid w:val="00651382"/>
    <w:rsid w:val="006517DD"/>
    <w:rsid w:val="00651E96"/>
    <w:rsid w:val="00652AB2"/>
    <w:rsid w:val="00652CCD"/>
    <w:rsid w:val="006530C9"/>
    <w:rsid w:val="006533F3"/>
    <w:rsid w:val="00653579"/>
    <w:rsid w:val="00653622"/>
    <w:rsid w:val="00653FE6"/>
    <w:rsid w:val="0065415A"/>
    <w:rsid w:val="0065446A"/>
    <w:rsid w:val="00654767"/>
    <w:rsid w:val="00654C11"/>
    <w:rsid w:val="00654EB9"/>
    <w:rsid w:val="006551F6"/>
    <w:rsid w:val="0065552B"/>
    <w:rsid w:val="006558F8"/>
    <w:rsid w:val="006564DF"/>
    <w:rsid w:val="006566ED"/>
    <w:rsid w:val="00656B4B"/>
    <w:rsid w:val="00656BCF"/>
    <w:rsid w:val="00660024"/>
    <w:rsid w:val="00660B46"/>
    <w:rsid w:val="00660F6F"/>
    <w:rsid w:val="00661283"/>
    <w:rsid w:val="0066129E"/>
    <w:rsid w:val="00661918"/>
    <w:rsid w:val="00661F08"/>
    <w:rsid w:val="00662130"/>
    <w:rsid w:val="0066226E"/>
    <w:rsid w:val="00662A5A"/>
    <w:rsid w:val="00662B31"/>
    <w:rsid w:val="00662B7E"/>
    <w:rsid w:val="00662F7D"/>
    <w:rsid w:val="0066318E"/>
    <w:rsid w:val="006641C4"/>
    <w:rsid w:val="00664875"/>
    <w:rsid w:val="006653AB"/>
    <w:rsid w:val="006653D7"/>
    <w:rsid w:val="006654F3"/>
    <w:rsid w:val="00665F5E"/>
    <w:rsid w:val="00666129"/>
    <w:rsid w:val="006665BA"/>
    <w:rsid w:val="006665FE"/>
    <w:rsid w:val="00666A4F"/>
    <w:rsid w:val="00666BDF"/>
    <w:rsid w:val="00667106"/>
    <w:rsid w:val="00667111"/>
    <w:rsid w:val="0066720F"/>
    <w:rsid w:val="00667328"/>
    <w:rsid w:val="006703AA"/>
    <w:rsid w:val="006703D9"/>
    <w:rsid w:val="006704B8"/>
    <w:rsid w:val="006704F6"/>
    <w:rsid w:val="006708EA"/>
    <w:rsid w:val="00671091"/>
    <w:rsid w:val="00671AC7"/>
    <w:rsid w:val="00672154"/>
    <w:rsid w:val="00672B6A"/>
    <w:rsid w:val="00672D8D"/>
    <w:rsid w:val="0067426D"/>
    <w:rsid w:val="006745EC"/>
    <w:rsid w:val="00674713"/>
    <w:rsid w:val="006752A6"/>
    <w:rsid w:val="0067545E"/>
    <w:rsid w:val="006758D1"/>
    <w:rsid w:val="0067650C"/>
    <w:rsid w:val="00676E43"/>
    <w:rsid w:val="00677435"/>
    <w:rsid w:val="00677C33"/>
    <w:rsid w:val="006803B4"/>
    <w:rsid w:val="00680936"/>
    <w:rsid w:val="00680B91"/>
    <w:rsid w:val="00680D8C"/>
    <w:rsid w:val="00681236"/>
    <w:rsid w:val="0068165C"/>
    <w:rsid w:val="006818B4"/>
    <w:rsid w:val="00681BED"/>
    <w:rsid w:val="00681C66"/>
    <w:rsid w:val="006820E0"/>
    <w:rsid w:val="00682221"/>
    <w:rsid w:val="006826B4"/>
    <w:rsid w:val="00682725"/>
    <w:rsid w:val="006828DF"/>
    <w:rsid w:val="00682AED"/>
    <w:rsid w:val="00682D87"/>
    <w:rsid w:val="00683158"/>
    <w:rsid w:val="00683285"/>
    <w:rsid w:val="00683502"/>
    <w:rsid w:val="006836B2"/>
    <w:rsid w:val="00683A1C"/>
    <w:rsid w:val="0068413E"/>
    <w:rsid w:val="00684387"/>
    <w:rsid w:val="006845A2"/>
    <w:rsid w:val="006853A4"/>
    <w:rsid w:val="0068558F"/>
    <w:rsid w:val="006862B9"/>
    <w:rsid w:val="0068630F"/>
    <w:rsid w:val="006864E1"/>
    <w:rsid w:val="00686546"/>
    <w:rsid w:val="006865F1"/>
    <w:rsid w:val="00686871"/>
    <w:rsid w:val="00686948"/>
    <w:rsid w:val="006876CE"/>
    <w:rsid w:val="006877FF"/>
    <w:rsid w:val="0068793A"/>
    <w:rsid w:val="00687B34"/>
    <w:rsid w:val="00690781"/>
    <w:rsid w:val="006907A1"/>
    <w:rsid w:val="00690B17"/>
    <w:rsid w:val="00690CD7"/>
    <w:rsid w:val="0069128F"/>
    <w:rsid w:val="00691404"/>
    <w:rsid w:val="00691580"/>
    <w:rsid w:val="006920A6"/>
    <w:rsid w:val="00692582"/>
    <w:rsid w:val="006926E2"/>
    <w:rsid w:val="006926F0"/>
    <w:rsid w:val="006929D9"/>
    <w:rsid w:val="00692FF6"/>
    <w:rsid w:val="00692FFA"/>
    <w:rsid w:val="00693652"/>
    <w:rsid w:val="0069369F"/>
    <w:rsid w:val="0069376C"/>
    <w:rsid w:val="006939E7"/>
    <w:rsid w:val="00693D3E"/>
    <w:rsid w:val="00694113"/>
    <w:rsid w:val="006941D8"/>
    <w:rsid w:val="006942A1"/>
    <w:rsid w:val="006942F7"/>
    <w:rsid w:val="0069438B"/>
    <w:rsid w:val="00694A52"/>
    <w:rsid w:val="00695396"/>
    <w:rsid w:val="006954A0"/>
    <w:rsid w:val="00695620"/>
    <w:rsid w:val="00695659"/>
    <w:rsid w:val="0069582C"/>
    <w:rsid w:val="00695D76"/>
    <w:rsid w:val="00696A0F"/>
    <w:rsid w:val="006971D2"/>
    <w:rsid w:val="00697413"/>
    <w:rsid w:val="00697669"/>
    <w:rsid w:val="00697AE8"/>
    <w:rsid w:val="00697F01"/>
    <w:rsid w:val="006A15BA"/>
    <w:rsid w:val="006A1AAE"/>
    <w:rsid w:val="006A1EEA"/>
    <w:rsid w:val="006A2150"/>
    <w:rsid w:val="006A241D"/>
    <w:rsid w:val="006A24EA"/>
    <w:rsid w:val="006A2B0C"/>
    <w:rsid w:val="006A2C61"/>
    <w:rsid w:val="006A2D13"/>
    <w:rsid w:val="006A3288"/>
    <w:rsid w:val="006A35A2"/>
    <w:rsid w:val="006A3C54"/>
    <w:rsid w:val="006A3DE6"/>
    <w:rsid w:val="006A3E6B"/>
    <w:rsid w:val="006A43E6"/>
    <w:rsid w:val="006A45B1"/>
    <w:rsid w:val="006A4A1E"/>
    <w:rsid w:val="006A50C7"/>
    <w:rsid w:val="006A5CD5"/>
    <w:rsid w:val="006A5D9B"/>
    <w:rsid w:val="006A5E28"/>
    <w:rsid w:val="006A5E65"/>
    <w:rsid w:val="006A6A3A"/>
    <w:rsid w:val="006A70BE"/>
    <w:rsid w:val="006A7662"/>
    <w:rsid w:val="006A7F39"/>
    <w:rsid w:val="006A7FD0"/>
    <w:rsid w:val="006B0121"/>
    <w:rsid w:val="006B0128"/>
    <w:rsid w:val="006B0260"/>
    <w:rsid w:val="006B0334"/>
    <w:rsid w:val="006B0471"/>
    <w:rsid w:val="006B059F"/>
    <w:rsid w:val="006B0C6D"/>
    <w:rsid w:val="006B1011"/>
    <w:rsid w:val="006B134D"/>
    <w:rsid w:val="006B1A20"/>
    <w:rsid w:val="006B1C7C"/>
    <w:rsid w:val="006B1EC8"/>
    <w:rsid w:val="006B2136"/>
    <w:rsid w:val="006B2B64"/>
    <w:rsid w:val="006B2BD2"/>
    <w:rsid w:val="006B2CDF"/>
    <w:rsid w:val="006B3063"/>
    <w:rsid w:val="006B3086"/>
    <w:rsid w:val="006B3568"/>
    <w:rsid w:val="006B3D7B"/>
    <w:rsid w:val="006B3D99"/>
    <w:rsid w:val="006B4547"/>
    <w:rsid w:val="006B5752"/>
    <w:rsid w:val="006B5BF9"/>
    <w:rsid w:val="006B63D8"/>
    <w:rsid w:val="006B6F32"/>
    <w:rsid w:val="006B7130"/>
    <w:rsid w:val="006B7D46"/>
    <w:rsid w:val="006B7D4A"/>
    <w:rsid w:val="006B7EF5"/>
    <w:rsid w:val="006C0B0B"/>
    <w:rsid w:val="006C1401"/>
    <w:rsid w:val="006C201C"/>
    <w:rsid w:val="006C211C"/>
    <w:rsid w:val="006C2835"/>
    <w:rsid w:val="006C397B"/>
    <w:rsid w:val="006C408A"/>
    <w:rsid w:val="006C4150"/>
    <w:rsid w:val="006C4728"/>
    <w:rsid w:val="006C507B"/>
    <w:rsid w:val="006C5186"/>
    <w:rsid w:val="006C5189"/>
    <w:rsid w:val="006C51DA"/>
    <w:rsid w:val="006C5214"/>
    <w:rsid w:val="006C5683"/>
    <w:rsid w:val="006C5E33"/>
    <w:rsid w:val="006C5E48"/>
    <w:rsid w:val="006C6295"/>
    <w:rsid w:val="006C6434"/>
    <w:rsid w:val="006C6552"/>
    <w:rsid w:val="006C65CC"/>
    <w:rsid w:val="006C6B08"/>
    <w:rsid w:val="006C6CD8"/>
    <w:rsid w:val="006C6CF4"/>
    <w:rsid w:val="006C7FD4"/>
    <w:rsid w:val="006D0116"/>
    <w:rsid w:val="006D013F"/>
    <w:rsid w:val="006D017F"/>
    <w:rsid w:val="006D032D"/>
    <w:rsid w:val="006D0696"/>
    <w:rsid w:val="006D08DF"/>
    <w:rsid w:val="006D0A14"/>
    <w:rsid w:val="006D0A45"/>
    <w:rsid w:val="006D10BF"/>
    <w:rsid w:val="006D11E1"/>
    <w:rsid w:val="006D17B1"/>
    <w:rsid w:val="006D1836"/>
    <w:rsid w:val="006D1D3F"/>
    <w:rsid w:val="006D20B4"/>
    <w:rsid w:val="006D211A"/>
    <w:rsid w:val="006D253B"/>
    <w:rsid w:val="006D260B"/>
    <w:rsid w:val="006D2CCC"/>
    <w:rsid w:val="006D3C1D"/>
    <w:rsid w:val="006D3C4F"/>
    <w:rsid w:val="006D44D0"/>
    <w:rsid w:val="006D4C56"/>
    <w:rsid w:val="006D4F07"/>
    <w:rsid w:val="006D4FE0"/>
    <w:rsid w:val="006D5625"/>
    <w:rsid w:val="006D57CB"/>
    <w:rsid w:val="006D5A82"/>
    <w:rsid w:val="006D5D92"/>
    <w:rsid w:val="006D60EE"/>
    <w:rsid w:val="006D6CDD"/>
    <w:rsid w:val="006D719D"/>
    <w:rsid w:val="006D7444"/>
    <w:rsid w:val="006E044C"/>
    <w:rsid w:val="006E0A61"/>
    <w:rsid w:val="006E1999"/>
    <w:rsid w:val="006E2251"/>
    <w:rsid w:val="006E2812"/>
    <w:rsid w:val="006E36D4"/>
    <w:rsid w:val="006E3711"/>
    <w:rsid w:val="006E3992"/>
    <w:rsid w:val="006E3AAD"/>
    <w:rsid w:val="006E4118"/>
    <w:rsid w:val="006E4238"/>
    <w:rsid w:val="006E447A"/>
    <w:rsid w:val="006E4560"/>
    <w:rsid w:val="006E48D2"/>
    <w:rsid w:val="006E4FCE"/>
    <w:rsid w:val="006E50C3"/>
    <w:rsid w:val="006E665F"/>
    <w:rsid w:val="006E6948"/>
    <w:rsid w:val="006E6EAA"/>
    <w:rsid w:val="006E720E"/>
    <w:rsid w:val="006E7A57"/>
    <w:rsid w:val="006E7B97"/>
    <w:rsid w:val="006E7C1C"/>
    <w:rsid w:val="006E7D02"/>
    <w:rsid w:val="006E7D23"/>
    <w:rsid w:val="006F05FD"/>
    <w:rsid w:val="006F063E"/>
    <w:rsid w:val="006F0B83"/>
    <w:rsid w:val="006F15F3"/>
    <w:rsid w:val="006F1BBB"/>
    <w:rsid w:val="006F1D39"/>
    <w:rsid w:val="006F2173"/>
    <w:rsid w:val="006F2235"/>
    <w:rsid w:val="006F2318"/>
    <w:rsid w:val="006F2550"/>
    <w:rsid w:val="006F2CA3"/>
    <w:rsid w:val="006F3B10"/>
    <w:rsid w:val="006F3EA8"/>
    <w:rsid w:val="006F41E7"/>
    <w:rsid w:val="006F4740"/>
    <w:rsid w:val="006F49A7"/>
    <w:rsid w:val="006F4A47"/>
    <w:rsid w:val="006F51FA"/>
    <w:rsid w:val="006F568F"/>
    <w:rsid w:val="006F5862"/>
    <w:rsid w:val="006F58F8"/>
    <w:rsid w:val="006F62F2"/>
    <w:rsid w:val="006F6798"/>
    <w:rsid w:val="006F6D4C"/>
    <w:rsid w:val="006F6E67"/>
    <w:rsid w:val="006F7157"/>
    <w:rsid w:val="006F786E"/>
    <w:rsid w:val="006F78E0"/>
    <w:rsid w:val="006F7FE0"/>
    <w:rsid w:val="0070032D"/>
    <w:rsid w:val="00701590"/>
    <w:rsid w:val="0070176D"/>
    <w:rsid w:val="00701CF4"/>
    <w:rsid w:val="00702150"/>
    <w:rsid w:val="00702468"/>
    <w:rsid w:val="00702B1B"/>
    <w:rsid w:val="00702C43"/>
    <w:rsid w:val="00702CFE"/>
    <w:rsid w:val="00702EFE"/>
    <w:rsid w:val="0070395E"/>
    <w:rsid w:val="00703C76"/>
    <w:rsid w:val="00704164"/>
    <w:rsid w:val="00704473"/>
    <w:rsid w:val="00704E3D"/>
    <w:rsid w:val="00705031"/>
    <w:rsid w:val="00705134"/>
    <w:rsid w:val="007053D4"/>
    <w:rsid w:val="0070570A"/>
    <w:rsid w:val="00705FFB"/>
    <w:rsid w:val="00706277"/>
    <w:rsid w:val="00706A58"/>
    <w:rsid w:val="00706CAF"/>
    <w:rsid w:val="00706D75"/>
    <w:rsid w:val="00707670"/>
    <w:rsid w:val="00707EC8"/>
    <w:rsid w:val="007101A0"/>
    <w:rsid w:val="007110E1"/>
    <w:rsid w:val="0071113D"/>
    <w:rsid w:val="00711CFE"/>
    <w:rsid w:val="0071204E"/>
    <w:rsid w:val="007126A8"/>
    <w:rsid w:val="007127F4"/>
    <w:rsid w:val="00712AF8"/>
    <w:rsid w:val="00712C30"/>
    <w:rsid w:val="007135B0"/>
    <w:rsid w:val="00713662"/>
    <w:rsid w:val="007139C3"/>
    <w:rsid w:val="00713ADE"/>
    <w:rsid w:val="00713CE8"/>
    <w:rsid w:val="00714394"/>
    <w:rsid w:val="007143BC"/>
    <w:rsid w:val="007150B9"/>
    <w:rsid w:val="00715837"/>
    <w:rsid w:val="00715AAC"/>
    <w:rsid w:val="007163F8"/>
    <w:rsid w:val="00716B9D"/>
    <w:rsid w:val="00716C46"/>
    <w:rsid w:val="00716D40"/>
    <w:rsid w:val="0071729C"/>
    <w:rsid w:val="00720A60"/>
    <w:rsid w:val="00720E0B"/>
    <w:rsid w:val="007210F5"/>
    <w:rsid w:val="00721282"/>
    <w:rsid w:val="00721946"/>
    <w:rsid w:val="00721D10"/>
    <w:rsid w:val="00721F7E"/>
    <w:rsid w:val="0072238C"/>
    <w:rsid w:val="007225B1"/>
    <w:rsid w:val="00722E29"/>
    <w:rsid w:val="007238C5"/>
    <w:rsid w:val="00723F67"/>
    <w:rsid w:val="00724070"/>
    <w:rsid w:val="00724507"/>
    <w:rsid w:val="00724606"/>
    <w:rsid w:val="00724B92"/>
    <w:rsid w:val="00724E85"/>
    <w:rsid w:val="00725318"/>
    <w:rsid w:val="00725346"/>
    <w:rsid w:val="00725860"/>
    <w:rsid w:val="00725BA9"/>
    <w:rsid w:val="00725FAE"/>
    <w:rsid w:val="007266DD"/>
    <w:rsid w:val="00726815"/>
    <w:rsid w:val="00726B00"/>
    <w:rsid w:val="00726D0F"/>
    <w:rsid w:val="00726DA7"/>
    <w:rsid w:val="00727583"/>
    <w:rsid w:val="00727806"/>
    <w:rsid w:val="00727DDC"/>
    <w:rsid w:val="00730073"/>
    <w:rsid w:val="007300EC"/>
    <w:rsid w:val="007305BB"/>
    <w:rsid w:val="007306E5"/>
    <w:rsid w:val="00730839"/>
    <w:rsid w:val="00730DAF"/>
    <w:rsid w:val="00730F89"/>
    <w:rsid w:val="00731296"/>
    <w:rsid w:val="00731542"/>
    <w:rsid w:val="00731923"/>
    <w:rsid w:val="00731FC8"/>
    <w:rsid w:val="00732170"/>
    <w:rsid w:val="00732B28"/>
    <w:rsid w:val="00732E20"/>
    <w:rsid w:val="00733025"/>
    <w:rsid w:val="00733094"/>
    <w:rsid w:val="007334DC"/>
    <w:rsid w:val="007338CF"/>
    <w:rsid w:val="00733996"/>
    <w:rsid w:val="00733B19"/>
    <w:rsid w:val="007343AA"/>
    <w:rsid w:val="00734858"/>
    <w:rsid w:val="00734887"/>
    <w:rsid w:val="00734994"/>
    <w:rsid w:val="00734A44"/>
    <w:rsid w:val="00734D06"/>
    <w:rsid w:val="0073642E"/>
    <w:rsid w:val="007365B6"/>
    <w:rsid w:val="00736B84"/>
    <w:rsid w:val="00737EBD"/>
    <w:rsid w:val="007401E2"/>
    <w:rsid w:val="0074077D"/>
    <w:rsid w:val="00740780"/>
    <w:rsid w:val="0074081A"/>
    <w:rsid w:val="00740B49"/>
    <w:rsid w:val="00740E33"/>
    <w:rsid w:val="007411E5"/>
    <w:rsid w:val="00742233"/>
    <w:rsid w:val="007424CF"/>
    <w:rsid w:val="00742F8A"/>
    <w:rsid w:val="007431CD"/>
    <w:rsid w:val="007441F0"/>
    <w:rsid w:val="007443C2"/>
    <w:rsid w:val="007445DC"/>
    <w:rsid w:val="007447A4"/>
    <w:rsid w:val="00744FA3"/>
    <w:rsid w:val="00745ED9"/>
    <w:rsid w:val="00746755"/>
    <w:rsid w:val="00746951"/>
    <w:rsid w:val="0074722C"/>
    <w:rsid w:val="0074791E"/>
    <w:rsid w:val="0075001A"/>
    <w:rsid w:val="00750376"/>
    <w:rsid w:val="00750904"/>
    <w:rsid w:val="00750A08"/>
    <w:rsid w:val="00750A66"/>
    <w:rsid w:val="00750B28"/>
    <w:rsid w:val="00750D0C"/>
    <w:rsid w:val="00750D30"/>
    <w:rsid w:val="0075115D"/>
    <w:rsid w:val="007524D7"/>
    <w:rsid w:val="007525FF"/>
    <w:rsid w:val="0075283C"/>
    <w:rsid w:val="00752BB7"/>
    <w:rsid w:val="00753069"/>
    <w:rsid w:val="007532A7"/>
    <w:rsid w:val="00753890"/>
    <w:rsid w:val="007538F6"/>
    <w:rsid w:val="00753B7D"/>
    <w:rsid w:val="00753E5A"/>
    <w:rsid w:val="00754464"/>
    <w:rsid w:val="00754A71"/>
    <w:rsid w:val="00754EEC"/>
    <w:rsid w:val="00754FEC"/>
    <w:rsid w:val="0075500C"/>
    <w:rsid w:val="0075501A"/>
    <w:rsid w:val="00755200"/>
    <w:rsid w:val="007555DF"/>
    <w:rsid w:val="00755789"/>
    <w:rsid w:val="00755818"/>
    <w:rsid w:val="00755B12"/>
    <w:rsid w:val="00755D21"/>
    <w:rsid w:val="00755E75"/>
    <w:rsid w:val="007565B5"/>
    <w:rsid w:val="007573A5"/>
    <w:rsid w:val="007573C2"/>
    <w:rsid w:val="0076032C"/>
    <w:rsid w:val="00760B52"/>
    <w:rsid w:val="00760C40"/>
    <w:rsid w:val="00761434"/>
    <w:rsid w:val="00761721"/>
    <w:rsid w:val="007618EF"/>
    <w:rsid w:val="00761FD5"/>
    <w:rsid w:val="00762065"/>
    <w:rsid w:val="007624BB"/>
    <w:rsid w:val="00762524"/>
    <w:rsid w:val="00762BCF"/>
    <w:rsid w:val="00763027"/>
    <w:rsid w:val="00763072"/>
    <w:rsid w:val="00763BA7"/>
    <w:rsid w:val="00763D30"/>
    <w:rsid w:val="00763D3A"/>
    <w:rsid w:val="00763D4B"/>
    <w:rsid w:val="00763DB6"/>
    <w:rsid w:val="0076460E"/>
    <w:rsid w:val="00764668"/>
    <w:rsid w:val="00764B49"/>
    <w:rsid w:val="00764DBD"/>
    <w:rsid w:val="00764E4E"/>
    <w:rsid w:val="00764F70"/>
    <w:rsid w:val="00765CC3"/>
    <w:rsid w:val="00765DD8"/>
    <w:rsid w:val="007666DD"/>
    <w:rsid w:val="007669D3"/>
    <w:rsid w:val="00766D36"/>
    <w:rsid w:val="00766EB1"/>
    <w:rsid w:val="007673C6"/>
    <w:rsid w:val="00767607"/>
    <w:rsid w:val="00767A1C"/>
    <w:rsid w:val="00767E47"/>
    <w:rsid w:val="0077067D"/>
    <w:rsid w:val="007709CB"/>
    <w:rsid w:val="00771587"/>
    <w:rsid w:val="0077158D"/>
    <w:rsid w:val="0077165F"/>
    <w:rsid w:val="00771972"/>
    <w:rsid w:val="0077228D"/>
    <w:rsid w:val="00772FA4"/>
    <w:rsid w:val="0077314F"/>
    <w:rsid w:val="007735C4"/>
    <w:rsid w:val="007736BA"/>
    <w:rsid w:val="00773874"/>
    <w:rsid w:val="00773B7E"/>
    <w:rsid w:val="0077416B"/>
    <w:rsid w:val="0077477A"/>
    <w:rsid w:val="00774FDC"/>
    <w:rsid w:val="00775048"/>
    <w:rsid w:val="00775273"/>
    <w:rsid w:val="00775861"/>
    <w:rsid w:val="0077589B"/>
    <w:rsid w:val="00775952"/>
    <w:rsid w:val="00775B52"/>
    <w:rsid w:val="00775EED"/>
    <w:rsid w:val="007762DB"/>
    <w:rsid w:val="007765DF"/>
    <w:rsid w:val="007766D8"/>
    <w:rsid w:val="00776AD1"/>
    <w:rsid w:val="007770B9"/>
    <w:rsid w:val="007770E1"/>
    <w:rsid w:val="007778D4"/>
    <w:rsid w:val="00777BA4"/>
    <w:rsid w:val="007803F2"/>
    <w:rsid w:val="0078046F"/>
    <w:rsid w:val="00780661"/>
    <w:rsid w:val="00780A4F"/>
    <w:rsid w:val="00780D88"/>
    <w:rsid w:val="00780F42"/>
    <w:rsid w:val="0078126C"/>
    <w:rsid w:val="007813B4"/>
    <w:rsid w:val="00781AD1"/>
    <w:rsid w:val="00781BD1"/>
    <w:rsid w:val="00781FAF"/>
    <w:rsid w:val="007833C7"/>
    <w:rsid w:val="00783B85"/>
    <w:rsid w:val="007840F3"/>
    <w:rsid w:val="00784121"/>
    <w:rsid w:val="007842A0"/>
    <w:rsid w:val="00784315"/>
    <w:rsid w:val="00784B64"/>
    <w:rsid w:val="00784D55"/>
    <w:rsid w:val="00785491"/>
    <w:rsid w:val="007858C0"/>
    <w:rsid w:val="007863BB"/>
    <w:rsid w:val="0078665C"/>
    <w:rsid w:val="0078679A"/>
    <w:rsid w:val="00786E65"/>
    <w:rsid w:val="0078707F"/>
    <w:rsid w:val="0078731C"/>
    <w:rsid w:val="0078737E"/>
    <w:rsid w:val="0078759A"/>
    <w:rsid w:val="00787678"/>
    <w:rsid w:val="00787EB5"/>
    <w:rsid w:val="00790739"/>
    <w:rsid w:val="00790DFB"/>
    <w:rsid w:val="00791098"/>
    <w:rsid w:val="007910EB"/>
    <w:rsid w:val="00791B10"/>
    <w:rsid w:val="00791ED9"/>
    <w:rsid w:val="0079218E"/>
    <w:rsid w:val="00792447"/>
    <w:rsid w:val="00792659"/>
    <w:rsid w:val="00792679"/>
    <w:rsid w:val="0079270E"/>
    <w:rsid w:val="00792855"/>
    <w:rsid w:val="007937CB"/>
    <w:rsid w:val="0079385A"/>
    <w:rsid w:val="007943DF"/>
    <w:rsid w:val="00794A05"/>
    <w:rsid w:val="00794A3A"/>
    <w:rsid w:val="00795B64"/>
    <w:rsid w:val="00795F96"/>
    <w:rsid w:val="00796549"/>
    <w:rsid w:val="0079694C"/>
    <w:rsid w:val="00796DBD"/>
    <w:rsid w:val="0079773A"/>
    <w:rsid w:val="00797FAD"/>
    <w:rsid w:val="007A0AF5"/>
    <w:rsid w:val="007A1EF3"/>
    <w:rsid w:val="007A2AEF"/>
    <w:rsid w:val="007A354D"/>
    <w:rsid w:val="007A38D8"/>
    <w:rsid w:val="007A4C77"/>
    <w:rsid w:val="007A4E17"/>
    <w:rsid w:val="007A520F"/>
    <w:rsid w:val="007A56E3"/>
    <w:rsid w:val="007A5704"/>
    <w:rsid w:val="007A5AF4"/>
    <w:rsid w:val="007A6145"/>
    <w:rsid w:val="007A641B"/>
    <w:rsid w:val="007A660D"/>
    <w:rsid w:val="007A68DC"/>
    <w:rsid w:val="007A691C"/>
    <w:rsid w:val="007A6D0D"/>
    <w:rsid w:val="007A79D8"/>
    <w:rsid w:val="007A7F6D"/>
    <w:rsid w:val="007B01C5"/>
    <w:rsid w:val="007B058B"/>
    <w:rsid w:val="007B0FBD"/>
    <w:rsid w:val="007B172E"/>
    <w:rsid w:val="007B1BAF"/>
    <w:rsid w:val="007B1C65"/>
    <w:rsid w:val="007B1E34"/>
    <w:rsid w:val="007B2245"/>
    <w:rsid w:val="007B2331"/>
    <w:rsid w:val="007B24AB"/>
    <w:rsid w:val="007B2896"/>
    <w:rsid w:val="007B2CDD"/>
    <w:rsid w:val="007B3154"/>
    <w:rsid w:val="007B35F7"/>
    <w:rsid w:val="007B3948"/>
    <w:rsid w:val="007B396F"/>
    <w:rsid w:val="007B3B4C"/>
    <w:rsid w:val="007B41D6"/>
    <w:rsid w:val="007B461D"/>
    <w:rsid w:val="007B4F47"/>
    <w:rsid w:val="007B4F72"/>
    <w:rsid w:val="007B5192"/>
    <w:rsid w:val="007B5445"/>
    <w:rsid w:val="007B5C63"/>
    <w:rsid w:val="007B67FC"/>
    <w:rsid w:val="007B6896"/>
    <w:rsid w:val="007B698D"/>
    <w:rsid w:val="007B6D9F"/>
    <w:rsid w:val="007B757D"/>
    <w:rsid w:val="007B7764"/>
    <w:rsid w:val="007B7942"/>
    <w:rsid w:val="007B79F5"/>
    <w:rsid w:val="007B7BE9"/>
    <w:rsid w:val="007C0A01"/>
    <w:rsid w:val="007C0E04"/>
    <w:rsid w:val="007C1098"/>
    <w:rsid w:val="007C123B"/>
    <w:rsid w:val="007C13DF"/>
    <w:rsid w:val="007C21F1"/>
    <w:rsid w:val="007C2827"/>
    <w:rsid w:val="007C2B1F"/>
    <w:rsid w:val="007C3224"/>
    <w:rsid w:val="007C344C"/>
    <w:rsid w:val="007C3813"/>
    <w:rsid w:val="007C3858"/>
    <w:rsid w:val="007C3A26"/>
    <w:rsid w:val="007C3A80"/>
    <w:rsid w:val="007C40BB"/>
    <w:rsid w:val="007C41F0"/>
    <w:rsid w:val="007C42C0"/>
    <w:rsid w:val="007C5029"/>
    <w:rsid w:val="007C527A"/>
    <w:rsid w:val="007C543F"/>
    <w:rsid w:val="007C6A0A"/>
    <w:rsid w:val="007C6A2E"/>
    <w:rsid w:val="007C6DD2"/>
    <w:rsid w:val="007C6E85"/>
    <w:rsid w:val="007C6F36"/>
    <w:rsid w:val="007C70A7"/>
    <w:rsid w:val="007C73B0"/>
    <w:rsid w:val="007C74E5"/>
    <w:rsid w:val="007C76FB"/>
    <w:rsid w:val="007D060B"/>
    <w:rsid w:val="007D0E43"/>
    <w:rsid w:val="007D0FFB"/>
    <w:rsid w:val="007D13E7"/>
    <w:rsid w:val="007D1991"/>
    <w:rsid w:val="007D1E37"/>
    <w:rsid w:val="007D2037"/>
    <w:rsid w:val="007D227D"/>
    <w:rsid w:val="007D232F"/>
    <w:rsid w:val="007D2385"/>
    <w:rsid w:val="007D2E2D"/>
    <w:rsid w:val="007D3D9D"/>
    <w:rsid w:val="007D3F52"/>
    <w:rsid w:val="007D45F8"/>
    <w:rsid w:val="007D48B3"/>
    <w:rsid w:val="007D52CA"/>
    <w:rsid w:val="007D5384"/>
    <w:rsid w:val="007D563E"/>
    <w:rsid w:val="007D577F"/>
    <w:rsid w:val="007D5B51"/>
    <w:rsid w:val="007D5F71"/>
    <w:rsid w:val="007D5FC1"/>
    <w:rsid w:val="007D6305"/>
    <w:rsid w:val="007D6C3F"/>
    <w:rsid w:val="007D715A"/>
    <w:rsid w:val="007D7236"/>
    <w:rsid w:val="007D733A"/>
    <w:rsid w:val="007D740C"/>
    <w:rsid w:val="007E0153"/>
    <w:rsid w:val="007E0E9E"/>
    <w:rsid w:val="007E10A9"/>
    <w:rsid w:val="007E17B3"/>
    <w:rsid w:val="007E19DC"/>
    <w:rsid w:val="007E1CEA"/>
    <w:rsid w:val="007E21FB"/>
    <w:rsid w:val="007E2347"/>
    <w:rsid w:val="007E26A8"/>
    <w:rsid w:val="007E2E3F"/>
    <w:rsid w:val="007E329D"/>
    <w:rsid w:val="007E3474"/>
    <w:rsid w:val="007E35DC"/>
    <w:rsid w:val="007E39E7"/>
    <w:rsid w:val="007E3F02"/>
    <w:rsid w:val="007E420B"/>
    <w:rsid w:val="007E47D2"/>
    <w:rsid w:val="007E4932"/>
    <w:rsid w:val="007E49D4"/>
    <w:rsid w:val="007E502C"/>
    <w:rsid w:val="007E58ED"/>
    <w:rsid w:val="007E598A"/>
    <w:rsid w:val="007E5A74"/>
    <w:rsid w:val="007E5BD7"/>
    <w:rsid w:val="007E6023"/>
    <w:rsid w:val="007E659E"/>
    <w:rsid w:val="007E69C0"/>
    <w:rsid w:val="007E75F0"/>
    <w:rsid w:val="007E77D6"/>
    <w:rsid w:val="007E7968"/>
    <w:rsid w:val="007E7E7A"/>
    <w:rsid w:val="007F013A"/>
    <w:rsid w:val="007F067A"/>
    <w:rsid w:val="007F0691"/>
    <w:rsid w:val="007F088F"/>
    <w:rsid w:val="007F1890"/>
    <w:rsid w:val="007F193D"/>
    <w:rsid w:val="007F1FB0"/>
    <w:rsid w:val="007F2857"/>
    <w:rsid w:val="007F2D90"/>
    <w:rsid w:val="007F3EFD"/>
    <w:rsid w:val="007F4211"/>
    <w:rsid w:val="007F4F82"/>
    <w:rsid w:val="007F53A5"/>
    <w:rsid w:val="007F54DB"/>
    <w:rsid w:val="007F5D10"/>
    <w:rsid w:val="007F67D0"/>
    <w:rsid w:val="007F6A9A"/>
    <w:rsid w:val="007F6B93"/>
    <w:rsid w:val="007F6B9F"/>
    <w:rsid w:val="007F709F"/>
    <w:rsid w:val="007F73DA"/>
    <w:rsid w:val="007F78FA"/>
    <w:rsid w:val="0080042A"/>
    <w:rsid w:val="008008F3"/>
    <w:rsid w:val="008013D6"/>
    <w:rsid w:val="008014FC"/>
    <w:rsid w:val="00801CA0"/>
    <w:rsid w:val="00801EEA"/>
    <w:rsid w:val="00802493"/>
    <w:rsid w:val="00802785"/>
    <w:rsid w:val="00802D6D"/>
    <w:rsid w:val="008039FE"/>
    <w:rsid w:val="00804653"/>
    <w:rsid w:val="00804659"/>
    <w:rsid w:val="00804A2E"/>
    <w:rsid w:val="00805D36"/>
    <w:rsid w:val="00806336"/>
    <w:rsid w:val="00806579"/>
    <w:rsid w:val="008066F8"/>
    <w:rsid w:val="00806A84"/>
    <w:rsid w:val="00806F66"/>
    <w:rsid w:val="008073D2"/>
    <w:rsid w:val="0080750E"/>
    <w:rsid w:val="00807C6C"/>
    <w:rsid w:val="00807ED5"/>
    <w:rsid w:val="00807F4C"/>
    <w:rsid w:val="008119BF"/>
    <w:rsid w:val="00811F8C"/>
    <w:rsid w:val="0081243E"/>
    <w:rsid w:val="00812687"/>
    <w:rsid w:val="00812B10"/>
    <w:rsid w:val="00813278"/>
    <w:rsid w:val="00813385"/>
    <w:rsid w:val="0081340B"/>
    <w:rsid w:val="00813D52"/>
    <w:rsid w:val="00813DA5"/>
    <w:rsid w:val="00813E59"/>
    <w:rsid w:val="0081628A"/>
    <w:rsid w:val="00816304"/>
    <w:rsid w:val="00816703"/>
    <w:rsid w:val="00816BD8"/>
    <w:rsid w:val="00816C39"/>
    <w:rsid w:val="00816E37"/>
    <w:rsid w:val="00817BB4"/>
    <w:rsid w:val="00817DFE"/>
    <w:rsid w:val="00817E89"/>
    <w:rsid w:val="00817E9F"/>
    <w:rsid w:val="00820BE8"/>
    <w:rsid w:val="00821021"/>
    <w:rsid w:val="008214BB"/>
    <w:rsid w:val="00821609"/>
    <w:rsid w:val="00821B58"/>
    <w:rsid w:val="0082202C"/>
    <w:rsid w:val="00822117"/>
    <w:rsid w:val="0082211D"/>
    <w:rsid w:val="008225E3"/>
    <w:rsid w:val="00822922"/>
    <w:rsid w:val="00822D06"/>
    <w:rsid w:val="00822D4E"/>
    <w:rsid w:val="00823329"/>
    <w:rsid w:val="00823487"/>
    <w:rsid w:val="00823B4E"/>
    <w:rsid w:val="00823CEC"/>
    <w:rsid w:val="00824594"/>
    <w:rsid w:val="0082460C"/>
    <w:rsid w:val="008249B0"/>
    <w:rsid w:val="00824A07"/>
    <w:rsid w:val="00824E60"/>
    <w:rsid w:val="0082529F"/>
    <w:rsid w:val="00825661"/>
    <w:rsid w:val="00825BF1"/>
    <w:rsid w:val="00825C0C"/>
    <w:rsid w:val="008268A1"/>
    <w:rsid w:val="00826AC0"/>
    <w:rsid w:val="00826CD4"/>
    <w:rsid w:val="00826D8D"/>
    <w:rsid w:val="00826F04"/>
    <w:rsid w:val="00826F17"/>
    <w:rsid w:val="00826F4C"/>
    <w:rsid w:val="00827183"/>
    <w:rsid w:val="0082722A"/>
    <w:rsid w:val="00827797"/>
    <w:rsid w:val="00827B01"/>
    <w:rsid w:val="008302F0"/>
    <w:rsid w:val="008309A3"/>
    <w:rsid w:val="0083135D"/>
    <w:rsid w:val="00832524"/>
    <w:rsid w:val="008329DB"/>
    <w:rsid w:val="00833014"/>
    <w:rsid w:val="008330FB"/>
    <w:rsid w:val="00833970"/>
    <w:rsid w:val="00833F66"/>
    <w:rsid w:val="00833FBB"/>
    <w:rsid w:val="00834846"/>
    <w:rsid w:val="00834A99"/>
    <w:rsid w:val="00834BCA"/>
    <w:rsid w:val="00834F10"/>
    <w:rsid w:val="008350BD"/>
    <w:rsid w:val="00835237"/>
    <w:rsid w:val="0083544C"/>
    <w:rsid w:val="008356E1"/>
    <w:rsid w:val="00835EEB"/>
    <w:rsid w:val="00836A4D"/>
    <w:rsid w:val="00836F94"/>
    <w:rsid w:val="0083737F"/>
    <w:rsid w:val="00837699"/>
    <w:rsid w:val="008377DA"/>
    <w:rsid w:val="00837B93"/>
    <w:rsid w:val="00837DF6"/>
    <w:rsid w:val="00837FEE"/>
    <w:rsid w:val="008409B9"/>
    <w:rsid w:val="00840AEB"/>
    <w:rsid w:val="00840AFF"/>
    <w:rsid w:val="00840E57"/>
    <w:rsid w:val="008417B3"/>
    <w:rsid w:val="008425DD"/>
    <w:rsid w:val="008428DE"/>
    <w:rsid w:val="00842A25"/>
    <w:rsid w:val="00843122"/>
    <w:rsid w:val="008432EA"/>
    <w:rsid w:val="00843427"/>
    <w:rsid w:val="00843842"/>
    <w:rsid w:val="00844002"/>
    <w:rsid w:val="0084459B"/>
    <w:rsid w:val="008448DD"/>
    <w:rsid w:val="0084494C"/>
    <w:rsid w:val="00844D06"/>
    <w:rsid w:val="00844EC9"/>
    <w:rsid w:val="00845811"/>
    <w:rsid w:val="00845A15"/>
    <w:rsid w:val="00845ED5"/>
    <w:rsid w:val="0084632F"/>
    <w:rsid w:val="0084708B"/>
    <w:rsid w:val="00847121"/>
    <w:rsid w:val="00847309"/>
    <w:rsid w:val="008475A9"/>
    <w:rsid w:val="0084765F"/>
    <w:rsid w:val="00847C0D"/>
    <w:rsid w:val="00847C2B"/>
    <w:rsid w:val="00847DA7"/>
    <w:rsid w:val="00850C0F"/>
    <w:rsid w:val="00850EF7"/>
    <w:rsid w:val="0085106A"/>
    <w:rsid w:val="008523F6"/>
    <w:rsid w:val="00852A1F"/>
    <w:rsid w:val="00852B97"/>
    <w:rsid w:val="00853195"/>
    <w:rsid w:val="0085381C"/>
    <w:rsid w:val="00853C37"/>
    <w:rsid w:val="00853F10"/>
    <w:rsid w:val="00853F6C"/>
    <w:rsid w:val="00854060"/>
    <w:rsid w:val="008541E3"/>
    <w:rsid w:val="0085468B"/>
    <w:rsid w:val="00854D3D"/>
    <w:rsid w:val="00854EA0"/>
    <w:rsid w:val="008552FC"/>
    <w:rsid w:val="00855423"/>
    <w:rsid w:val="008556A6"/>
    <w:rsid w:val="008556B3"/>
    <w:rsid w:val="0085583B"/>
    <w:rsid w:val="00855B06"/>
    <w:rsid w:val="008561BB"/>
    <w:rsid w:val="008565AA"/>
    <w:rsid w:val="008575F9"/>
    <w:rsid w:val="00857641"/>
    <w:rsid w:val="00857D29"/>
    <w:rsid w:val="00857D46"/>
    <w:rsid w:val="00857E25"/>
    <w:rsid w:val="00860071"/>
    <w:rsid w:val="00860A30"/>
    <w:rsid w:val="00861D80"/>
    <w:rsid w:val="00861DC6"/>
    <w:rsid w:val="00862095"/>
    <w:rsid w:val="0086214C"/>
    <w:rsid w:val="008629A8"/>
    <w:rsid w:val="00862E46"/>
    <w:rsid w:val="00863089"/>
    <w:rsid w:val="00863198"/>
    <w:rsid w:val="008633A9"/>
    <w:rsid w:val="00863544"/>
    <w:rsid w:val="00863B3D"/>
    <w:rsid w:val="00863E32"/>
    <w:rsid w:val="008640B5"/>
    <w:rsid w:val="00864C32"/>
    <w:rsid w:val="00864C9F"/>
    <w:rsid w:val="00864D55"/>
    <w:rsid w:val="00865199"/>
    <w:rsid w:val="00865426"/>
    <w:rsid w:val="0086551B"/>
    <w:rsid w:val="008655BA"/>
    <w:rsid w:val="00865F44"/>
    <w:rsid w:val="0086605D"/>
    <w:rsid w:val="00866572"/>
    <w:rsid w:val="008667FD"/>
    <w:rsid w:val="008679DC"/>
    <w:rsid w:val="00870272"/>
    <w:rsid w:val="008706AE"/>
    <w:rsid w:val="00870CB6"/>
    <w:rsid w:val="00870D76"/>
    <w:rsid w:val="00871421"/>
    <w:rsid w:val="00871499"/>
    <w:rsid w:val="0087163B"/>
    <w:rsid w:val="0087270F"/>
    <w:rsid w:val="00872828"/>
    <w:rsid w:val="00872882"/>
    <w:rsid w:val="00873D3D"/>
    <w:rsid w:val="00873FEA"/>
    <w:rsid w:val="0087419B"/>
    <w:rsid w:val="008743DF"/>
    <w:rsid w:val="00874592"/>
    <w:rsid w:val="0087475F"/>
    <w:rsid w:val="00874E59"/>
    <w:rsid w:val="0087516A"/>
    <w:rsid w:val="00875679"/>
    <w:rsid w:val="00875ADE"/>
    <w:rsid w:val="00875E1F"/>
    <w:rsid w:val="00875E91"/>
    <w:rsid w:val="008762F2"/>
    <w:rsid w:val="0087655C"/>
    <w:rsid w:val="00876F84"/>
    <w:rsid w:val="008777A6"/>
    <w:rsid w:val="008778FD"/>
    <w:rsid w:val="00877DF5"/>
    <w:rsid w:val="00877E5C"/>
    <w:rsid w:val="0088028E"/>
    <w:rsid w:val="008804CE"/>
    <w:rsid w:val="008807EE"/>
    <w:rsid w:val="00880A96"/>
    <w:rsid w:val="008813C8"/>
    <w:rsid w:val="008814F2"/>
    <w:rsid w:val="008818F6"/>
    <w:rsid w:val="00881FFE"/>
    <w:rsid w:val="00882056"/>
    <w:rsid w:val="00882EC4"/>
    <w:rsid w:val="00882F6D"/>
    <w:rsid w:val="00883059"/>
    <w:rsid w:val="0088398E"/>
    <w:rsid w:val="008844D7"/>
    <w:rsid w:val="00884B9F"/>
    <w:rsid w:val="00885BEA"/>
    <w:rsid w:val="008864AD"/>
    <w:rsid w:val="00886AC5"/>
    <w:rsid w:val="00886D59"/>
    <w:rsid w:val="008871C1"/>
    <w:rsid w:val="00887705"/>
    <w:rsid w:val="00887887"/>
    <w:rsid w:val="00887AA0"/>
    <w:rsid w:val="00887C28"/>
    <w:rsid w:val="00887E02"/>
    <w:rsid w:val="00890237"/>
    <w:rsid w:val="00890535"/>
    <w:rsid w:val="008909F3"/>
    <w:rsid w:val="00890B0F"/>
    <w:rsid w:val="00890D7C"/>
    <w:rsid w:val="00890F2E"/>
    <w:rsid w:val="00891E92"/>
    <w:rsid w:val="00892580"/>
    <w:rsid w:val="008929A4"/>
    <w:rsid w:val="00892ADF"/>
    <w:rsid w:val="0089305C"/>
    <w:rsid w:val="008933A7"/>
    <w:rsid w:val="00893479"/>
    <w:rsid w:val="00893554"/>
    <w:rsid w:val="00894121"/>
    <w:rsid w:val="00894A90"/>
    <w:rsid w:val="00894CC7"/>
    <w:rsid w:val="00894EAA"/>
    <w:rsid w:val="00894FC1"/>
    <w:rsid w:val="00895508"/>
    <w:rsid w:val="0089684F"/>
    <w:rsid w:val="00896ADB"/>
    <w:rsid w:val="008977CD"/>
    <w:rsid w:val="00897A3D"/>
    <w:rsid w:val="00897E03"/>
    <w:rsid w:val="00897F77"/>
    <w:rsid w:val="008A0298"/>
    <w:rsid w:val="008A0547"/>
    <w:rsid w:val="008A05E0"/>
    <w:rsid w:val="008A064E"/>
    <w:rsid w:val="008A072C"/>
    <w:rsid w:val="008A0FB6"/>
    <w:rsid w:val="008A1517"/>
    <w:rsid w:val="008A1C47"/>
    <w:rsid w:val="008A28A5"/>
    <w:rsid w:val="008A3084"/>
    <w:rsid w:val="008A34BF"/>
    <w:rsid w:val="008A35AB"/>
    <w:rsid w:val="008A35E7"/>
    <w:rsid w:val="008A4CBF"/>
    <w:rsid w:val="008A4E38"/>
    <w:rsid w:val="008A5290"/>
    <w:rsid w:val="008A5549"/>
    <w:rsid w:val="008A5684"/>
    <w:rsid w:val="008A593A"/>
    <w:rsid w:val="008A5A27"/>
    <w:rsid w:val="008A65FD"/>
    <w:rsid w:val="008A6C5A"/>
    <w:rsid w:val="008B0061"/>
    <w:rsid w:val="008B0202"/>
    <w:rsid w:val="008B031D"/>
    <w:rsid w:val="008B0EAD"/>
    <w:rsid w:val="008B1718"/>
    <w:rsid w:val="008B190C"/>
    <w:rsid w:val="008B1983"/>
    <w:rsid w:val="008B1CA3"/>
    <w:rsid w:val="008B1E83"/>
    <w:rsid w:val="008B1EF5"/>
    <w:rsid w:val="008B219A"/>
    <w:rsid w:val="008B2537"/>
    <w:rsid w:val="008B27A3"/>
    <w:rsid w:val="008B2C9C"/>
    <w:rsid w:val="008B2DF3"/>
    <w:rsid w:val="008B2E4C"/>
    <w:rsid w:val="008B349C"/>
    <w:rsid w:val="008B369E"/>
    <w:rsid w:val="008B376A"/>
    <w:rsid w:val="008B3B97"/>
    <w:rsid w:val="008B3F57"/>
    <w:rsid w:val="008B4969"/>
    <w:rsid w:val="008B4EFB"/>
    <w:rsid w:val="008B5660"/>
    <w:rsid w:val="008B5790"/>
    <w:rsid w:val="008B6576"/>
    <w:rsid w:val="008B69C4"/>
    <w:rsid w:val="008B7220"/>
    <w:rsid w:val="008B75D5"/>
    <w:rsid w:val="008B78D8"/>
    <w:rsid w:val="008B7BAA"/>
    <w:rsid w:val="008C00CA"/>
    <w:rsid w:val="008C0246"/>
    <w:rsid w:val="008C031A"/>
    <w:rsid w:val="008C08A5"/>
    <w:rsid w:val="008C1349"/>
    <w:rsid w:val="008C31A3"/>
    <w:rsid w:val="008C3413"/>
    <w:rsid w:val="008C347E"/>
    <w:rsid w:val="008C36B2"/>
    <w:rsid w:val="008C384A"/>
    <w:rsid w:val="008C439C"/>
    <w:rsid w:val="008C44D9"/>
    <w:rsid w:val="008C4510"/>
    <w:rsid w:val="008C479C"/>
    <w:rsid w:val="008C47B4"/>
    <w:rsid w:val="008C4AB7"/>
    <w:rsid w:val="008C4D4B"/>
    <w:rsid w:val="008C4E14"/>
    <w:rsid w:val="008C4EDA"/>
    <w:rsid w:val="008C4F75"/>
    <w:rsid w:val="008C543B"/>
    <w:rsid w:val="008C55A4"/>
    <w:rsid w:val="008C57A4"/>
    <w:rsid w:val="008C5C97"/>
    <w:rsid w:val="008C64E3"/>
    <w:rsid w:val="008C6EB6"/>
    <w:rsid w:val="008C725D"/>
    <w:rsid w:val="008C743F"/>
    <w:rsid w:val="008C74C6"/>
    <w:rsid w:val="008C769B"/>
    <w:rsid w:val="008C76BF"/>
    <w:rsid w:val="008C7741"/>
    <w:rsid w:val="008C7883"/>
    <w:rsid w:val="008C78F9"/>
    <w:rsid w:val="008C7B5C"/>
    <w:rsid w:val="008D044B"/>
    <w:rsid w:val="008D04C8"/>
    <w:rsid w:val="008D0AAB"/>
    <w:rsid w:val="008D0D1E"/>
    <w:rsid w:val="008D110C"/>
    <w:rsid w:val="008D1E4F"/>
    <w:rsid w:val="008D1E79"/>
    <w:rsid w:val="008D25CD"/>
    <w:rsid w:val="008D29A6"/>
    <w:rsid w:val="008D3103"/>
    <w:rsid w:val="008D3201"/>
    <w:rsid w:val="008D32AF"/>
    <w:rsid w:val="008D33C1"/>
    <w:rsid w:val="008D345F"/>
    <w:rsid w:val="008D3735"/>
    <w:rsid w:val="008D3775"/>
    <w:rsid w:val="008D4677"/>
    <w:rsid w:val="008D49A4"/>
    <w:rsid w:val="008D5693"/>
    <w:rsid w:val="008D58D2"/>
    <w:rsid w:val="008D592A"/>
    <w:rsid w:val="008D5BAA"/>
    <w:rsid w:val="008D776F"/>
    <w:rsid w:val="008D7A19"/>
    <w:rsid w:val="008D7E13"/>
    <w:rsid w:val="008E0D5B"/>
    <w:rsid w:val="008E1068"/>
    <w:rsid w:val="008E18A0"/>
    <w:rsid w:val="008E1CC0"/>
    <w:rsid w:val="008E1E54"/>
    <w:rsid w:val="008E2AA2"/>
    <w:rsid w:val="008E38CF"/>
    <w:rsid w:val="008E3921"/>
    <w:rsid w:val="008E3B12"/>
    <w:rsid w:val="008E3B7C"/>
    <w:rsid w:val="008E3C88"/>
    <w:rsid w:val="008E47E0"/>
    <w:rsid w:val="008E4880"/>
    <w:rsid w:val="008E5643"/>
    <w:rsid w:val="008E6810"/>
    <w:rsid w:val="008E7082"/>
    <w:rsid w:val="008E7211"/>
    <w:rsid w:val="008E78F2"/>
    <w:rsid w:val="008E792D"/>
    <w:rsid w:val="008F0055"/>
    <w:rsid w:val="008F022C"/>
    <w:rsid w:val="008F089A"/>
    <w:rsid w:val="008F0AB5"/>
    <w:rsid w:val="008F0E05"/>
    <w:rsid w:val="008F0E9C"/>
    <w:rsid w:val="008F12B1"/>
    <w:rsid w:val="008F141E"/>
    <w:rsid w:val="008F1521"/>
    <w:rsid w:val="008F1F09"/>
    <w:rsid w:val="008F25A3"/>
    <w:rsid w:val="008F2838"/>
    <w:rsid w:val="008F2A9A"/>
    <w:rsid w:val="008F2CDD"/>
    <w:rsid w:val="008F3F8C"/>
    <w:rsid w:val="008F41ED"/>
    <w:rsid w:val="008F4886"/>
    <w:rsid w:val="008F55DF"/>
    <w:rsid w:val="008F5988"/>
    <w:rsid w:val="008F61FC"/>
    <w:rsid w:val="008F6667"/>
    <w:rsid w:val="008F6794"/>
    <w:rsid w:val="008F6E36"/>
    <w:rsid w:val="008F7069"/>
    <w:rsid w:val="008F783D"/>
    <w:rsid w:val="008F7853"/>
    <w:rsid w:val="008F7AA3"/>
    <w:rsid w:val="009000B6"/>
    <w:rsid w:val="009003DE"/>
    <w:rsid w:val="009003EA"/>
    <w:rsid w:val="00900C7B"/>
    <w:rsid w:val="00901569"/>
    <w:rsid w:val="009024F8"/>
    <w:rsid w:val="00902929"/>
    <w:rsid w:val="00902EC7"/>
    <w:rsid w:val="0090318C"/>
    <w:rsid w:val="00903488"/>
    <w:rsid w:val="009040A3"/>
    <w:rsid w:val="00904795"/>
    <w:rsid w:val="009049FD"/>
    <w:rsid w:val="00904AA8"/>
    <w:rsid w:val="00904F24"/>
    <w:rsid w:val="00904FB5"/>
    <w:rsid w:val="00905021"/>
    <w:rsid w:val="009059E1"/>
    <w:rsid w:val="00905D12"/>
    <w:rsid w:val="00906619"/>
    <w:rsid w:val="00906A71"/>
    <w:rsid w:val="00906F35"/>
    <w:rsid w:val="0090727F"/>
    <w:rsid w:val="009077BA"/>
    <w:rsid w:val="00907955"/>
    <w:rsid w:val="0090799A"/>
    <w:rsid w:val="00907B8B"/>
    <w:rsid w:val="00910D7E"/>
    <w:rsid w:val="00910D90"/>
    <w:rsid w:val="0091140F"/>
    <w:rsid w:val="009115F6"/>
    <w:rsid w:val="0091270C"/>
    <w:rsid w:val="00912DE0"/>
    <w:rsid w:val="009132FA"/>
    <w:rsid w:val="00913421"/>
    <w:rsid w:val="0091394B"/>
    <w:rsid w:val="009145E9"/>
    <w:rsid w:val="00914825"/>
    <w:rsid w:val="009148DC"/>
    <w:rsid w:val="00916805"/>
    <w:rsid w:val="00916A15"/>
    <w:rsid w:val="00916E58"/>
    <w:rsid w:val="00916FE3"/>
    <w:rsid w:val="00917380"/>
    <w:rsid w:val="00917887"/>
    <w:rsid w:val="00917E45"/>
    <w:rsid w:val="0092007B"/>
    <w:rsid w:val="009207DB"/>
    <w:rsid w:val="009207E1"/>
    <w:rsid w:val="0092117F"/>
    <w:rsid w:val="00921BCD"/>
    <w:rsid w:val="00922024"/>
    <w:rsid w:val="00922AF6"/>
    <w:rsid w:val="00922DF4"/>
    <w:rsid w:val="00922FE4"/>
    <w:rsid w:val="00923346"/>
    <w:rsid w:val="009244A4"/>
    <w:rsid w:val="009246F6"/>
    <w:rsid w:val="00924B93"/>
    <w:rsid w:val="00924BF3"/>
    <w:rsid w:val="00924E99"/>
    <w:rsid w:val="009254AC"/>
    <w:rsid w:val="00925501"/>
    <w:rsid w:val="009255B5"/>
    <w:rsid w:val="00925C4F"/>
    <w:rsid w:val="00925E32"/>
    <w:rsid w:val="00926301"/>
    <w:rsid w:val="00926982"/>
    <w:rsid w:val="00926BC8"/>
    <w:rsid w:val="00926BF2"/>
    <w:rsid w:val="00926C94"/>
    <w:rsid w:val="009270C4"/>
    <w:rsid w:val="00930542"/>
    <w:rsid w:val="00930B54"/>
    <w:rsid w:val="00930DF3"/>
    <w:rsid w:val="00930F71"/>
    <w:rsid w:val="00931317"/>
    <w:rsid w:val="00931B25"/>
    <w:rsid w:val="00931C34"/>
    <w:rsid w:val="00931D3F"/>
    <w:rsid w:val="0093200A"/>
    <w:rsid w:val="0093208D"/>
    <w:rsid w:val="00932096"/>
    <w:rsid w:val="00932196"/>
    <w:rsid w:val="009321A3"/>
    <w:rsid w:val="0093226D"/>
    <w:rsid w:val="00932459"/>
    <w:rsid w:val="009324FD"/>
    <w:rsid w:val="00932B16"/>
    <w:rsid w:val="00932FE6"/>
    <w:rsid w:val="00933E2B"/>
    <w:rsid w:val="0093412A"/>
    <w:rsid w:val="0093461F"/>
    <w:rsid w:val="00934FA8"/>
    <w:rsid w:val="009363BC"/>
    <w:rsid w:val="00936535"/>
    <w:rsid w:val="0093740F"/>
    <w:rsid w:val="00937B4A"/>
    <w:rsid w:val="00937C1D"/>
    <w:rsid w:val="009405AC"/>
    <w:rsid w:val="009405DB"/>
    <w:rsid w:val="00940712"/>
    <w:rsid w:val="00940A16"/>
    <w:rsid w:val="00940F58"/>
    <w:rsid w:val="00940FC3"/>
    <w:rsid w:val="0094123E"/>
    <w:rsid w:val="0094131D"/>
    <w:rsid w:val="0094185C"/>
    <w:rsid w:val="00941BCB"/>
    <w:rsid w:val="00941C49"/>
    <w:rsid w:val="00941F69"/>
    <w:rsid w:val="00942120"/>
    <w:rsid w:val="00942316"/>
    <w:rsid w:val="009425F7"/>
    <w:rsid w:val="00942A91"/>
    <w:rsid w:val="00942F09"/>
    <w:rsid w:val="00942FE3"/>
    <w:rsid w:val="009437F6"/>
    <w:rsid w:val="00943DD5"/>
    <w:rsid w:val="00943F26"/>
    <w:rsid w:val="00944637"/>
    <w:rsid w:val="00944BC7"/>
    <w:rsid w:val="00944BF0"/>
    <w:rsid w:val="00944F2E"/>
    <w:rsid w:val="00945072"/>
    <w:rsid w:val="009450E6"/>
    <w:rsid w:val="009455F6"/>
    <w:rsid w:val="009458E3"/>
    <w:rsid w:val="00946136"/>
    <w:rsid w:val="00946208"/>
    <w:rsid w:val="00946C1D"/>
    <w:rsid w:val="00947B25"/>
    <w:rsid w:val="00950B62"/>
    <w:rsid w:val="009512F4"/>
    <w:rsid w:val="00951A3E"/>
    <w:rsid w:val="00951FA8"/>
    <w:rsid w:val="009520CE"/>
    <w:rsid w:val="00952FEE"/>
    <w:rsid w:val="0095348B"/>
    <w:rsid w:val="00953596"/>
    <w:rsid w:val="00953BA0"/>
    <w:rsid w:val="00953BB4"/>
    <w:rsid w:val="00954282"/>
    <w:rsid w:val="00954427"/>
    <w:rsid w:val="009544B6"/>
    <w:rsid w:val="0095467D"/>
    <w:rsid w:val="00954E74"/>
    <w:rsid w:val="00955150"/>
    <w:rsid w:val="0095526E"/>
    <w:rsid w:val="009555AB"/>
    <w:rsid w:val="00955A3E"/>
    <w:rsid w:val="009562BF"/>
    <w:rsid w:val="00956A2A"/>
    <w:rsid w:val="00956BBB"/>
    <w:rsid w:val="00956DC3"/>
    <w:rsid w:val="00957A1B"/>
    <w:rsid w:val="009607DA"/>
    <w:rsid w:val="00961505"/>
    <w:rsid w:val="009618F2"/>
    <w:rsid w:val="00961B3E"/>
    <w:rsid w:val="0096205F"/>
    <w:rsid w:val="0096323E"/>
    <w:rsid w:val="00963FAA"/>
    <w:rsid w:val="0096475C"/>
    <w:rsid w:val="00964924"/>
    <w:rsid w:val="00964E45"/>
    <w:rsid w:val="00965161"/>
    <w:rsid w:val="00965401"/>
    <w:rsid w:val="00965A7A"/>
    <w:rsid w:val="00965C07"/>
    <w:rsid w:val="00965E37"/>
    <w:rsid w:val="00965F51"/>
    <w:rsid w:val="00966425"/>
    <w:rsid w:val="0096646C"/>
    <w:rsid w:val="009664D4"/>
    <w:rsid w:val="009666AA"/>
    <w:rsid w:val="00966E16"/>
    <w:rsid w:val="0096797D"/>
    <w:rsid w:val="00967C2F"/>
    <w:rsid w:val="009710C3"/>
    <w:rsid w:val="00971262"/>
    <w:rsid w:val="00971291"/>
    <w:rsid w:val="009713DD"/>
    <w:rsid w:val="00971A57"/>
    <w:rsid w:val="00971C53"/>
    <w:rsid w:val="009725F2"/>
    <w:rsid w:val="00972DC6"/>
    <w:rsid w:val="00972F2E"/>
    <w:rsid w:val="00972FC0"/>
    <w:rsid w:val="0097311D"/>
    <w:rsid w:val="00973179"/>
    <w:rsid w:val="00974105"/>
    <w:rsid w:val="00974795"/>
    <w:rsid w:val="00975C75"/>
    <w:rsid w:val="009761BB"/>
    <w:rsid w:val="00976390"/>
    <w:rsid w:val="00976582"/>
    <w:rsid w:val="0097766C"/>
    <w:rsid w:val="00977BCA"/>
    <w:rsid w:val="009806FB"/>
    <w:rsid w:val="009809DE"/>
    <w:rsid w:val="0098177A"/>
    <w:rsid w:val="00981ABB"/>
    <w:rsid w:val="00982997"/>
    <w:rsid w:val="009833A5"/>
    <w:rsid w:val="009836D1"/>
    <w:rsid w:val="00983CE9"/>
    <w:rsid w:val="00983EFD"/>
    <w:rsid w:val="0098422A"/>
    <w:rsid w:val="009849BB"/>
    <w:rsid w:val="00984A8A"/>
    <w:rsid w:val="00985855"/>
    <w:rsid w:val="00985D58"/>
    <w:rsid w:val="00985DFA"/>
    <w:rsid w:val="00986257"/>
    <w:rsid w:val="00986350"/>
    <w:rsid w:val="0098643B"/>
    <w:rsid w:val="00986466"/>
    <w:rsid w:val="009864CE"/>
    <w:rsid w:val="009867A7"/>
    <w:rsid w:val="00986861"/>
    <w:rsid w:val="009868C9"/>
    <w:rsid w:val="009878A0"/>
    <w:rsid w:val="00987BF5"/>
    <w:rsid w:val="00987CBC"/>
    <w:rsid w:val="00987FE7"/>
    <w:rsid w:val="00990519"/>
    <w:rsid w:val="00990609"/>
    <w:rsid w:val="00990904"/>
    <w:rsid w:val="00990AAE"/>
    <w:rsid w:val="00990D2C"/>
    <w:rsid w:val="00990DB9"/>
    <w:rsid w:val="00991706"/>
    <w:rsid w:val="009917E6"/>
    <w:rsid w:val="00991C78"/>
    <w:rsid w:val="00992022"/>
    <w:rsid w:val="0099228A"/>
    <w:rsid w:val="009924B9"/>
    <w:rsid w:val="009925AC"/>
    <w:rsid w:val="00992815"/>
    <w:rsid w:val="00992935"/>
    <w:rsid w:val="00992AFB"/>
    <w:rsid w:val="00992E3D"/>
    <w:rsid w:val="0099301E"/>
    <w:rsid w:val="0099337A"/>
    <w:rsid w:val="009936DB"/>
    <w:rsid w:val="00993F17"/>
    <w:rsid w:val="00993FFC"/>
    <w:rsid w:val="00994268"/>
    <w:rsid w:val="009943CA"/>
    <w:rsid w:val="00994EA1"/>
    <w:rsid w:val="00995141"/>
    <w:rsid w:val="0099589D"/>
    <w:rsid w:val="00995E04"/>
    <w:rsid w:val="009961D6"/>
    <w:rsid w:val="00996326"/>
    <w:rsid w:val="00996349"/>
    <w:rsid w:val="00996415"/>
    <w:rsid w:val="00996546"/>
    <w:rsid w:val="009966A8"/>
    <w:rsid w:val="0099687E"/>
    <w:rsid w:val="00996C6A"/>
    <w:rsid w:val="00996CA3"/>
    <w:rsid w:val="00996E73"/>
    <w:rsid w:val="0099723F"/>
    <w:rsid w:val="009978A9"/>
    <w:rsid w:val="00997F31"/>
    <w:rsid w:val="009A09B4"/>
    <w:rsid w:val="009A0FB1"/>
    <w:rsid w:val="009A1411"/>
    <w:rsid w:val="009A1CD8"/>
    <w:rsid w:val="009A214E"/>
    <w:rsid w:val="009A2838"/>
    <w:rsid w:val="009A28B2"/>
    <w:rsid w:val="009A2EFF"/>
    <w:rsid w:val="009A2FDF"/>
    <w:rsid w:val="009A327E"/>
    <w:rsid w:val="009A3451"/>
    <w:rsid w:val="009A3567"/>
    <w:rsid w:val="009A44E8"/>
    <w:rsid w:val="009A4654"/>
    <w:rsid w:val="009A4A0D"/>
    <w:rsid w:val="009A4F69"/>
    <w:rsid w:val="009A5B4A"/>
    <w:rsid w:val="009A5F6E"/>
    <w:rsid w:val="009A602D"/>
    <w:rsid w:val="009A6092"/>
    <w:rsid w:val="009A61FF"/>
    <w:rsid w:val="009A6BC0"/>
    <w:rsid w:val="009A74CB"/>
    <w:rsid w:val="009A775A"/>
    <w:rsid w:val="009A7A01"/>
    <w:rsid w:val="009A7C99"/>
    <w:rsid w:val="009A7F92"/>
    <w:rsid w:val="009B09C4"/>
    <w:rsid w:val="009B0FD8"/>
    <w:rsid w:val="009B1D07"/>
    <w:rsid w:val="009B1DA5"/>
    <w:rsid w:val="009B2453"/>
    <w:rsid w:val="009B2861"/>
    <w:rsid w:val="009B28FD"/>
    <w:rsid w:val="009B2AD6"/>
    <w:rsid w:val="009B2B64"/>
    <w:rsid w:val="009B34B9"/>
    <w:rsid w:val="009B35D6"/>
    <w:rsid w:val="009B37F0"/>
    <w:rsid w:val="009B3F30"/>
    <w:rsid w:val="009B3FF1"/>
    <w:rsid w:val="009B45AC"/>
    <w:rsid w:val="009B45F0"/>
    <w:rsid w:val="009B4BDC"/>
    <w:rsid w:val="009B4F14"/>
    <w:rsid w:val="009B5594"/>
    <w:rsid w:val="009B568E"/>
    <w:rsid w:val="009B57DF"/>
    <w:rsid w:val="009B5879"/>
    <w:rsid w:val="009B5A37"/>
    <w:rsid w:val="009B6792"/>
    <w:rsid w:val="009B7144"/>
    <w:rsid w:val="009B729E"/>
    <w:rsid w:val="009B738C"/>
    <w:rsid w:val="009B7498"/>
    <w:rsid w:val="009B74A2"/>
    <w:rsid w:val="009B74BB"/>
    <w:rsid w:val="009B758E"/>
    <w:rsid w:val="009B77D9"/>
    <w:rsid w:val="009B7ED4"/>
    <w:rsid w:val="009C067A"/>
    <w:rsid w:val="009C0CB4"/>
    <w:rsid w:val="009C0F5B"/>
    <w:rsid w:val="009C104A"/>
    <w:rsid w:val="009C1083"/>
    <w:rsid w:val="009C169C"/>
    <w:rsid w:val="009C178B"/>
    <w:rsid w:val="009C17E8"/>
    <w:rsid w:val="009C221F"/>
    <w:rsid w:val="009C27F8"/>
    <w:rsid w:val="009C34CB"/>
    <w:rsid w:val="009C3BFC"/>
    <w:rsid w:val="009C3D84"/>
    <w:rsid w:val="009C411A"/>
    <w:rsid w:val="009C4228"/>
    <w:rsid w:val="009C42B4"/>
    <w:rsid w:val="009C443A"/>
    <w:rsid w:val="009C44B1"/>
    <w:rsid w:val="009C469D"/>
    <w:rsid w:val="009C4701"/>
    <w:rsid w:val="009C4B41"/>
    <w:rsid w:val="009C50B7"/>
    <w:rsid w:val="009C51B3"/>
    <w:rsid w:val="009C5923"/>
    <w:rsid w:val="009C6283"/>
    <w:rsid w:val="009C6981"/>
    <w:rsid w:val="009C6BB4"/>
    <w:rsid w:val="009C7773"/>
    <w:rsid w:val="009C79FD"/>
    <w:rsid w:val="009C7A50"/>
    <w:rsid w:val="009C7B1D"/>
    <w:rsid w:val="009D03F1"/>
    <w:rsid w:val="009D19B9"/>
    <w:rsid w:val="009D1C41"/>
    <w:rsid w:val="009D1CF4"/>
    <w:rsid w:val="009D2E19"/>
    <w:rsid w:val="009D2E2B"/>
    <w:rsid w:val="009D3528"/>
    <w:rsid w:val="009D380F"/>
    <w:rsid w:val="009D402B"/>
    <w:rsid w:val="009D49AF"/>
    <w:rsid w:val="009D5001"/>
    <w:rsid w:val="009D57A7"/>
    <w:rsid w:val="009D5A1E"/>
    <w:rsid w:val="009D6B76"/>
    <w:rsid w:val="009D77C9"/>
    <w:rsid w:val="009D7D70"/>
    <w:rsid w:val="009E0410"/>
    <w:rsid w:val="009E0B59"/>
    <w:rsid w:val="009E0BFF"/>
    <w:rsid w:val="009E13B0"/>
    <w:rsid w:val="009E1607"/>
    <w:rsid w:val="009E1E56"/>
    <w:rsid w:val="009E2227"/>
    <w:rsid w:val="009E237E"/>
    <w:rsid w:val="009E2D39"/>
    <w:rsid w:val="009E2E06"/>
    <w:rsid w:val="009E2E5A"/>
    <w:rsid w:val="009E33D1"/>
    <w:rsid w:val="009E3FEF"/>
    <w:rsid w:val="009E52D3"/>
    <w:rsid w:val="009E53EC"/>
    <w:rsid w:val="009E6A55"/>
    <w:rsid w:val="009E6DD0"/>
    <w:rsid w:val="009E6F5C"/>
    <w:rsid w:val="009E7562"/>
    <w:rsid w:val="009E7ADC"/>
    <w:rsid w:val="009F0861"/>
    <w:rsid w:val="009F0BD9"/>
    <w:rsid w:val="009F0C30"/>
    <w:rsid w:val="009F1A0A"/>
    <w:rsid w:val="009F1C64"/>
    <w:rsid w:val="009F1EB9"/>
    <w:rsid w:val="009F21DC"/>
    <w:rsid w:val="009F2803"/>
    <w:rsid w:val="009F293D"/>
    <w:rsid w:val="009F2BA2"/>
    <w:rsid w:val="009F2C42"/>
    <w:rsid w:val="009F31A9"/>
    <w:rsid w:val="009F3332"/>
    <w:rsid w:val="009F33FA"/>
    <w:rsid w:val="009F344F"/>
    <w:rsid w:val="009F3645"/>
    <w:rsid w:val="009F3AC7"/>
    <w:rsid w:val="009F4283"/>
    <w:rsid w:val="009F42F3"/>
    <w:rsid w:val="009F4BCE"/>
    <w:rsid w:val="009F4C2B"/>
    <w:rsid w:val="009F4E26"/>
    <w:rsid w:val="009F5105"/>
    <w:rsid w:val="009F5259"/>
    <w:rsid w:val="009F5DC4"/>
    <w:rsid w:val="009F6769"/>
    <w:rsid w:val="009F6903"/>
    <w:rsid w:val="009F7107"/>
    <w:rsid w:val="009F7CA8"/>
    <w:rsid w:val="00A002F3"/>
    <w:rsid w:val="00A006BD"/>
    <w:rsid w:val="00A006E1"/>
    <w:rsid w:val="00A00824"/>
    <w:rsid w:val="00A009AC"/>
    <w:rsid w:val="00A00D50"/>
    <w:rsid w:val="00A00DAC"/>
    <w:rsid w:val="00A00DC0"/>
    <w:rsid w:val="00A00FC7"/>
    <w:rsid w:val="00A00FF1"/>
    <w:rsid w:val="00A01149"/>
    <w:rsid w:val="00A01C1F"/>
    <w:rsid w:val="00A01C86"/>
    <w:rsid w:val="00A01C98"/>
    <w:rsid w:val="00A01D92"/>
    <w:rsid w:val="00A02A9F"/>
    <w:rsid w:val="00A02CE8"/>
    <w:rsid w:val="00A02EE0"/>
    <w:rsid w:val="00A02F54"/>
    <w:rsid w:val="00A035F2"/>
    <w:rsid w:val="00A03C90"/>
    <w:rsid w:val="00A042E8"/>
    <w:rsid w:val="00A04C41"/>
    <w:rsid w:val="00A051FC"/>
    <w:rsid w:val="00A0521B"/>
    <w:rsid w:val="00A052AE"/>
    <w:rsid w:val="00A05322"/>
    <w:rsid w:val="00A05A92"/>
    <w:rsid w:val="00A05ACF"/>
    <w:rsid w:val="00A05D66"/>
    <w:rsid w:val="00A06A54"/>
    <w:rsid w:val="00A06E0F"/>
    <w:rsid w:val="00A06E22"/>
    <w:rsid w:val="00A06EFA"/>
    <w:rsid w:val="00A0749B"/>
    <w:rsid w:val="00A10207"/>
    <w:rsid w:val="00A10423"/>
    <w:rsid w:val="00A1050E"/>
    <w:rsid w:val="00A1061C"/>
    <w:rsid w:val="00A10ADA"/>
    <w:rsid w:val="00A10D02"/>
    <w:rsid w:val="00A11911"/>
    <w:rsid w:val="00A11972"/>
    <w:rsid w:val="00A11C04"/>
    <w:rsid w:val="00A1238B"/>
    <w:rsid w:val="00A1260D"/>
    <w:rsid w:val="00A129CC"/>
    <w:rsid w:val="00A136C8"/>
    <w:rsid w:val="00A137EE"/>
    <w:rsid w:val="00A13CAB"/>
    <w:rsid w:val="00A14034"/>
    <w:rsid w:val="00A14AA2"/>
    <w:rsid w:val="00A152F6"/>
    <w:rsid w:val="00A1548E"/>
    <w:rsid w:val="00A15A52"/>
    <w:rsid w:val="00A1614F"/>
    <w:rsid w:val="00A162F2"/>
    <w:rsid w:val="00A171E1"/>
    <w:rsid w:val="00A172FD"/>
    <w:rsid w:val="00A179AD"/>
    <w:rsid w:val="00A17AEF"/>
    <w:rsid w:val="00A17CFF"/>
    <w:rsid w:val="00A201CF"/>
    <w:rsid w:val="00A20A26"/>
    <w:rsid w:val="00A218FE"/>
    <w:rsid w:val="00A21F85"/>
    <w:rsid w:val="00A22536"/>
    <w:rsid w:val="00A227AB"/>
    <w:rsid w:val="00A2283C"/>
    <w:rsid w:val="00A22DEC"/>
    <w:rsid w:val="00A230B1"/>
    <w:rsid w:val="00A2323D"/>
    <w:rsid w:val="00A240AC"/>
    <w:rsid w:val="00A240FF"/>
    <w:rsid w:val="00A2594C"/>
    <w:rsid w:val="00A266C7"/>
    <w:rsid w:val="00A26C96"/>
    <w:rsid w:val="00A2732C"/>
    <w:rsid w:val="00A277C7"/>
    <w:rsid w:val="00A27A71"/>
    <w:rsid w:val="00A27F02"/>
    <w:rsid w:val="00A30047"/>
    <w:rsid w:val="00A301BA"/>
    <w:rsid w:val="00A310C7"/>
    <w:rsid w:val="00A311A8"/>
    <w:rsid w:val="00A314E5"/>
    <w:rsid w:val="00A31CC5"/>
    <w:rsid w:val="00A31DF9"/>
    <w:rsid w:val="00A32078"/>
    <w:rsid w:val="00A32211"/>
    <w:rsid w:val="00A323FD"/>
    <w:rsid w:val="00A32462"/>
    <w:rsid w:val="00A326EF"/>
    <w:rsid w:val="00A32D14"/>
    <w:rsid w:val="00A33100"/>
    <w:rsid w:val="00A33876"/>
    <w:rsid w:val="00A33D3A"/>
    <w:rsid w:val="00A34114"/>
    <w:rsid w:val="00A34B29"/>
    <w:rsid w:val="00A34BEA"/>
    <w:rsid w:val="00A34C81"/>
    <w:rsid w:val="00A34E19"/>
    <w:rsid w:val="00A353D8"/>
    <w:rsid w:val="00A35B31"/>
    <w:rsid w:val="00A35F00"/>
    <w:rsid w:val="00A361AE"/>
    <w:rsid w:val="00A3664B"/>
    <w:rsid w:val="00A36B46"/>
    <w:rsid w:val="00A36BD5"/>
    <w:rsid w:val="00A37269"/>
    <w:rsid w:val="00A374B1"/>
    <w:rsid w:val="00A401BF"/>
    <w:rsid w:val="00A40906"/>
    <w:rsid w:val="00A409B8"/>
    <w:rsid w:val="00A40C3D"/>
    <w:rsid w:val="00A40D0C"/>
    <w:rsid w:val="00A41302"/>
    <w:rsid w:val="00A415E2"/>
    <w:rsid w:val="00A41C59"/>
    <w:rsid w:val="00A41C63"/>
    <w:rsid w:val="00A420F4"/>
    <w:rsid w:val="00A42130"/>
    <w:rsid w:val="00A421C0"/>
    <w:rsid w:val="00A4271D"/>
    <w:rsid w:val="00A42B3E"/>
    <w:rsid w:val="00A43021"/>
    <w:rsid w:val="00A43278"/>
    <w:rsid w:val="00A4349B"/>
    <w:rsid w:val="00A434EC"/>
    <w:rsid w:val="00A44F68"/>
    <w:rsid w:val="00A459D9"/>
    <w:rsid w:val="00A463EB"/>
    <w:rsid w:val="00A466BC"/>
    <w:rsid w:val="00A469C6"/>
    <w:rsid w:val="00A47029"/>
    <w:rsid w:val="00A47341"/>
    <w:rsid w:val="00A50299"/>
    <w:rsid w:val="00A503CF"/>
    <w:rsid w:val="00A50F4B"/>
    <w:rsid w:val="00A510C2"/>
    <w:rsid w:val="00A518F3"/>
    <w:rsid w:val="00A51D1A"/>
    <w:rsid w:val="00A51D94"/>
    <w:rsid w:val="00A52100"/>
    <w:rsid w:val="00A525EC"/>
    <w:rsid w:val="00A52885"/>
    <w:rsid w:val="00A53048"/>
    <w:rsid w:val="00A5334A"/>
    <w:rsid w:val="00A536D5"/>
    <w:rsid w:val="00A53FCE"/>
    <w:rsid w:val="00A5425D"/>
    <w:rsid w:val="00A5510E"/>
    <w:rsid w:val="00A554CB"/>
    <w:rsid w:val="00A559F4"/>
    <w:rsid w:val="00A56547"/>
    <w:rsid w:val="00A56BBE"/>
    <w:rsid w:val="00A56D12"/>
    <w:rsid w:val="00A570AE"/>
    <w:rsid w:val="00A570E0"/>
    <w:rsid w:val="00A57343"/>
    <w:rsid w:val="00A57427"/>
    <w:rsid w:val="00A57566"/>
    <w:rsid w:val="00A57593"/>
    <w:rsid w:val="00A57889"/>
    <w:rsid w:val="00A606A0"/>
    <w:rsid w:val="00A60754"/>
    <w:rsid w:val="00A60AEA"/>
    <w:rsid w:val="00A60E0C"/>
    <w:rsid w:val="00A61263"/>
    <w:rsid w:val="00A614AD"/>
    <w:rsid w:val="00A61886"/>
    <w:rsid w:val="00A61C42"/>
    <w:rsid w:val="00A63706"/>
    <w:rsid w:val="00A63A0E"/>
    <w:rsid w:val="00A63D89"/>
    <w:rsid w:val="00A64088"/>
    <w:rsid w:val="00A64DAD"/>
    <w:rsid w:val="00A650DB"/>
    <w:rsid w:val="00A65406"/>
    <w:rsid w:val="00A65E52"/>
    <w:rsid w:val="00A669F6"/>
    <w:rsid w:val="00A66B3D"/>
    <w:rsid w:val="00A66E04"/>
    <w:rsid w:val="00A671B3"/>
    <w:rsid w:val="00A673BA"/>
    <w:rsid w:val="00A6775B"/>
    <w:rsid w:val="00A67E84"/>
    <w:rsid w:val="00A67F13"/>
    <w:rsid w:val="00A71084"/>
    <w:rsid w:val="00A71181"/>
    <w:rsid w:val="00A71996"/>
    <w:rsid w:val="00A7290C"/>
    <w:rsid w:val="00A72ADA"/>
    <w:rsid w:val="00A733CD"/>
    <w:rsid w:val="00A73642"/>
    <w:rsid w:val="00A73647"/>
    <w:rsid w:val="00A73915"/>
    <w:rsid w:val="00A740A9"/>
    <w:rsid w:val="00A740DC"/>
    <w:rsid w:val="00A7469F"/>
    <w:rsid w:val="00A74C0B"/>
    <w:rsid w:val="00A74CED"/>
    <w:rsid w:val="00A75085"/>
    <w:rsid w:val="00A753C1"/>
    <w:rsid w:val="00A7588B"/>
    <w:rsid w:val="00A758A0"/>
    <w:rsid w:val="00A7593A"/>
    <w:rsid w:val="00A75E31"/>
    <w:rsid w:val="00A76063"/>
    <w:rsid w:val="00A7661A"/>
    <w:rsid w:val="00A76794"/>
    <w:rsid w:val="00A767A1"/>
    <w:rsid w:val="00A767FD"/>
    <w:rsid w:val="00A76850"/>
    <w:rsid w:val="00A771BF"/>
    <w:rsid w:val="00A77A3F"/>
    <w:rsid w:val="00A801BC"/>
    <w:rsid w:val="00A80822"/>
    <w:rsid w:val="00A80B84"/>
    <w:rsid w:val="00A80D67"/>
    <w:rsid w:val="00A815D0"/>
    <w:rsid w:val="00A81953"/>
    <w:rsid w:val="00A81DB2"/>
    <w:rsid w:val="00A82156"/>
    <w:rsid w:val="00A82385"/>
    <w:rsid w:val="00A823AB"/>
    <w:rsid w:val="00A82C6D"/>
    <w:rsid w:val="00A83B5A"/>
    <w:rsid w:val="00A8409E"/>
    <w:rsid w:val="00A84155"/>
    <w:rsid w:val="00A84A64"/>
    <w:rsid w:val="00A84AE2"/>
    <w:rsid w:val="00A84AEB"/>
    <w:rsid w:val="00A861F3"/>
    <w:rsid w:val="00A86B9F"/>
    <w:rsid w:val="00A86F1A"/>
    <w:rsid w:val="00A874F5"/>
    <w:rsid w:val="00A87A3E"/>
    <w:rsid w:val="00A87B18"/>
    <w:rsid w:val="00A900ED"/>
    <w:rsid w:val="00A907B1"/>
    <w:rsid w:val="00A90888"/>
    <w:rsid w:val="00A90A43"/>
    <w:rsid w:val="00A90B1F"/>
    <w:rsid w:val="00A90DB1"/>
    <w:rsid w:val="00A90DCE"/>
    <w:rsid w:val="00A910CC"/>
    <w:rsid w:val="00A9147B"/>
    <w:rsid w:val="00A9162D"/>
    <w:rsid w:val="00A91BA8"/>
    <w:rsid w:val="00A91DB9"/>
    <w:rsid w:val="00A91EF1"/>
    <w:rsid w:val="00A91EF2"/>
    <w:rsid w:val="00A91EF4"/>
    <w:rsid w:val="00A92331"/>
    <w:rsid w:val="00A92E10"/>
    <w:rsid w:val="00A9325C"/>
    <w:rsid w:val="00A9325E"/>
    <w:rsid w:val="00A9390E"/>
    <w:rsid w:val="00A93B3D"/>
    <w:rsid w:val="00A94171"/>
    <w:rsid w:val="00A947DA"/>
    <w:rsid w:val="00A94FD5"/>
    <w:rsid w:val="00A95559"/>
    <w:rsid w:val="00A95F9F"/>
    <w:rsid w:val="00A95FC9"/>
    <w:rsid w:val="00A9676C"/>
    <w:rsid w:val="00A96CAB"/>
    <w:rsid w:val="00A96E85"/>
    <w:rsid w:val="00A96FC6"/>
    <w:rsid w:val="00A977B0"/>
    <w:rsid w:val="00A97942"/>
    <w:rsid w:val="00A97ACC"/>
    <w:rsid w:val="00A97B61"/>
    <w:rsid w:val="00A97CAF"/>
    <w:rsid w:val="00AA01DA"/>
    <w:rsid w:val="00AA046E"/>
    <w:rsid w:val="00AA0929"/>
    <w:rsid w:val="00AA097B"/>
    <w:rsid w:val="00AA0F42"/>
    <w:rsid w:val="00AA0FDD"/>
    <w:rsid w:val="00AA115C"/>
    <w:rsid w:val="00AA1211"/>
    <w:rsid w:val="00AA1579"/>
    <w:rsid w:val="00AA1ED0"/>
    <w:rsid w:val="00AA2101"/>
    <w:rsid w:val="00AA2E76"/>
    <w:rsid w:val="00AA35E5"/>
    <w:rsid w:val="00AA37D3"/>
    <w:rsid w:val="00AA41E9"/>
    <w:rsid w:val="00AA4358"/>
    <w:rsid w:val="00AA4482"/>
    <w:rsid w:val="00AA450C"/>
    <w:rsid w:val="00AA46FE"/>
    <w:rsid w:val="00AA4AA8"/>
    <w:rsid w:val="00AA4AE0"/>
    <w:rsid w:val="00AA5139"/>
    <w:rsid w:val="00AA5265"/>
    <w:rsid w:val="00AA5AEF"/>
    <w:rsid w:val="00AA5E20"/>
    <w:rsid w:val="00AA5E31"/>
    <w:rsid w:val="00AA6884"/>
    <w:rsid w:val="00AA6E71"/>
    <w:rsid w:val="00AA6EDF"/>
    <w:rsid w:val="00AA70F2"/>
    <w:rsid w:val="00AA7247"/>
    <w:rsid w:val="00AA7437"/>
    <w:rsid w:val="00AA750C"/>
    <w:rsid w:val="00AA7A5E"/>
    <w:rsid w:val="00AB0229"/>
    <w:rsid w:val="00AB07D1"/>
    <w:rsid w:val="00AB07D9"/>
    <w:rsid w:val="00AB0879"/>
    <w:rsid w:val="00AB0966"/>
    <w:rsid w:val="00AB0AA6"/>
    <w:rsid w:val="00AB0E99"/>
    <w:rsid w:val="00AB0F03"/>
    <w:rsid w:val="00AB1287"/>
    <w:rsid w:val="00AB1CE8"/>
    <w:rsid w:val="00AB1FC9"/>
    <w:rsid w:val="00AB2F20"/>
    <w:rsid w:val="00AB3F7B"/>
    <w:rsid w:val="00AB4356"/>
    <w:rsid w:val="00AB4419"/>
    <w:rsid w:val="00AB4AD8"/>
    <w:rsid w:val="00AB4E22"/>
    <w:rsid w:val="00AB5597"/>
    <w:rsid w:val="00AB5BAA"/>
    <w:rsid w:val="00AB66AC"/>
    <w:rsid w:val="00AB695B"/>
    <w:rsid w:val="00AB6DFC"/>
    <w:rsid w:val="00AB6FF1"/>
    <w:rsid w:val="00AB7A79"/>
    <w:rsid w:val="00AB7EB5"/>
    <w:rsid w:val="00AC0189"/>
    <w:rsid w:val="00AC09CD"/>
    <w:rsid w:val="00AC1004"/>
    <w:rsid w:val="00AC165A"/>
    <w:rsid w:val="00AC2588"/>
    <w:rsid w:val="00AC2832"/>
    <w:rsid w:val="00AC2885"/>
    <w:rsid w:val="00AC317D"/>
    <w:rsid w:val="00AC332B"/>
    <w:rsid w:val="00AC3739"/>
    <w:rsid w:val="00AC37AF"/>
    <w:rsid w:val="00AC3DB7"/>
    <w:rsid w:val="00AC400E"/>
    <w:rsid w:val="00AC4293"/>
    <w:rsid w:val="00AC438A"/>
    <w:rsid w:val="00AC4E38"/>
    <w:rsid w:val="00AC5606"/>
    <w:rsid w:val="00AC561A"/>
    <w:rsid w:val="00AC570E"/>
    <w:rsid w:val="00AC57D2"/>
    <w:rsid w:val="00AC5FFC"/>
    <w:rsid w:val="00AC658F"/>
    <w:rsid w:val="00AC6954"/>
    <w:rsid w:val="00AC7899"/>
    <w:rsid w:val="00AC7F42"/>
    <w:rsid w:val="00AC7F95"/>
    <w:rsid w:val="00AD0B96"/>
    <w:rsid w:val="00AD1A5F"/>
    <w:rsid w:val="00AD1A60"/>
    <w:rsid w:val="00AD2762"/>
    <w:rsid w:val="00AD27FC"/>
    <w:rsid w:val="00AD2ACE"/>
    <w:rsid w:val="00AD378E"/>
    <w:rsid w:val="00AD3946"/>
    <w:rsid w:val="00AD3FA7"/>
    <w:rsid w:val="00AD4029"/>
    <w:rsid w:val="00AD44C7"/>
    <w:rsid w:val="00AD46D5"/>
    <w:rsid w:val="00AD49F3"/>
    <w:rsid w:val="00AD4B09"/>
    <w:rsid w:val="00AD4EF7"/>
    <w:rsid w:val="00AD4F1C"/>
    <w:rsid w:val="00AD4FA3"/>
    <w:rsid w:val="00AD50AD"/>
    <w:rsid w:val="00AD514D"/>
    <w:rsid w:val="00AD516C"/>
    <w:rsid w:val="00AD5DEF"/>
    <w:rsid w:val="00AD5FD1"/>
    <w:rsid w:val="00AD6407"/>
    <w:rsid w:val="00AD6E95"/>
    <w:rsid w:val="00AD752F"/>
    <w:rsid w:val="00AD75BB"/>
    <w:rsid w:val="00AD79BB"/>
    <w:rsid w:val="00AD7D7F"/>
    <w:rsid w:val="00AE00CA"/>
    <w:rsid w:val="00AE0C89"/>
    <w:rsid w:val="00AE10C4"/>
    <w:rsid w:val="00AE1197"/>
    <w:rsid w:val="00AE1524"/>
    <w:rsid w:val="00AE1AE1"/>
    <w:rsid w:val="00AE254F"/>
    <w:rsid w:val="00AE260E"/>
    <w:rsid w:val="00AE2C77"/>
    <w:rsid w:val="00AE2D01"/>
    <w:rsid w:val="00AE33A7"/>
    <w:rsid w:val="00AE415F"/>
    <w:rsid w:val="00AE4863"/>
    <w:rsid w:val="00AE4AB0"/>
    <w:rsid w:val="00AE4C8E"/>
    <w:rsid w:val="00AE4E21"/>
    <w:rsid w:val="00AE4F15"/>
    <w:rsid w:val="00AE5430"/>
    <w:rsid w:val="00AE55BC"/>
    <w:rsid w:val="00AE57D2"/>
    <w:rsid w:val="00AE638D"/>
    <w:rsid w:val="00AE686D"/>
    <w:rsid w:val="00AE6B19"/>
    <w:rsid w:val="00AE6B27"/>
    <w:rsid w:val="00AE6D6A"/>
    <w:rsid w:val="00AE6F0F"/>
    <w:rsid w:val="00AE7656"/>
    <w:rsid w:val="00AF00D2"/>
    <w:rsid w:val="00AF083D"/>
    <w:rsid w:val="00AF0B16"/>
    <w:rsid w:val="00AF0F96"/>
    <w:rsid w:val="00AF1021"/>
    <w:rsid w:val="00AF1E0C"/>
    <w:rsid w:val="00AF21D7"/>
    <w:rsid w:val="00AF222F"/>
    <w:rsid w:val="00AF2893"/>
    <w:rsid w:val="00AF28EB"/>
    <w:rsid w:val="00AF2ED6"/>
    <w:rsid w:val="00AF3178"/>
    <w:rsid w:val="00AF36B6"/>
    <w:rsid w:val="00AF36BA"/>
    <w:rsid w:val="00AF3A61"/>
    <w:rsid w:val="00AF3C6C"/>
    <w:rsid w:val="00AF49AE"/>
    <w:rsid w:val="00AF4AB5"/>
    <w:rsid w:val="00AF4E1B"/>
    <w:rsid w:val="00AF527E"/>
    <w:rsid w:val="00AF5407"/>
    <w:rsid w:val="00AF5AC5"/>
    <w:rsid w:val="00AF5D56"/>
    <w:rsid w:val="00AF6595"/>
    <w:rsid w:val="00AF6E19"/>
    <w:rsid w:val="00AF7444"/>
    <w:rsid w:val="00AF7639"/>
    <w:rsid w:val="00AF782D"/>
    <w:rsid w:val="00B0043E"/>
    <w:rsid w:val="00B00936"/>
    <w:rsid w:val="00B00D08"/>
    <w:rsid w:val="00B00ED5"/>
    <w:rsid w:val="00B017AB"/>
    <w:rsid w:val="00B017EA"/>
    <w:rsid w:val="00B01B8C"/>
    <w:rsid w:val="00B01F2E"/>
    <w:rsid w:val="00B022CF"/>
    <w:rsid w:val="00B02808"/>
    <w:rsid w:val="00B028B0"/>
    <w:rsid w:val="00B028BC"/>
    <w:rsid w:val="00B02BF0"/>
    <w:rsid w:val="00B02EEE"/>
    <w:rsid w:val="00B037DC"/>
    <w:rsid w:val="00B038A2"/>
    <w:rsid w:val="00B03920"/>
    <w:rsid w:val="00B03AB4"/>
    <w:rsid w:val="00B03ABD"/>
    <w:rsid w:val="00B04580"/>
    <w:rsid w:val="00B0459A"/>
    <w:rsid w:val="00B04830"/>
    <w:rsid w:val="00B04972"/>
    <w:rsid w:val="00B04A5D"/>
    <w:rsid w:val="00B04BED"/>
    <w:rsid w:val="00B05384"/>
    <w:rsid w:val="00B05B34"/>
    <w:rsid w:val="00B05B91"/>
    <w:rsid w:val="00B05FE5"/>
    <w:rsid w:val="00B0613A"/>
    <w:rsid w:val="00B062A6"/>
    <w:rsid w:val="00B0689A"/>
    <w:rsid w:val="00B069BA"/>
    <w:rsid w:val="00B06DD5"/>
    <w:rsid w:val="00B07297"/>
    <w:rsid w:val="00B077CC"/>
    <w:rsid w:val="00B07CD8"/>
    <w:rsid w:val="00B10346"/>
    <w:rsid w:val="00B10762"/>
    <w:rsid w:val="00B10B90"/>
    <w:rsid w:val="00B1114A"/>
    <w:rsid w:val="00B11197"/>
    <w:rsid w:val="00B119A6"/>
    <w:rsid w:val="00B11D78"/>
    <w:rsid w:val="00B11E88"/>
    <w:rsid w:val="00B11F38"/>
    <w:rsid w:val="00B12FD0"/>
    <w:rsid w:val="00B1349D"/>
    <w:rsid w:val="00B1355A"/>
    <w:rsid w:val="00B13933"/>
    <w:rsid w:val="00B13F7C"/>
    <w:rsid w:val="00B1482F"/>
    <w:rsid w:val="00B14E03"/>
    <w:rsid w:val="00B1524E"/>
    <w:rsid w:val="00B152C6"/>
    <w:rsid w:val="00B1597B"/>
    <w:rsid w:val="00B15BB2"/>
    <w:rsid w:val="00B16611"/>
    <w:rsid w:val="00B169C8"/>
    <w:rsid w:val="00B17016"/>
    <w:rsid w:val="00B2048C"/>
    <w:rsid w:val="00B20AF2"/>
    <w:rsid w:val="00B214DD"/>
    <w:rsid w:val="00B216F9"/>
    <w:rsid w:val="00B229BE"/>
    <w:rsid w:val="00B22D02"/>
    <w:rsid w:val="00B23157"/>
    <w:rsid w:val="00B23821"/>
    <w:rsid w:val="00B23C29"/>
    <w:rsid w:val="00B241E3"/>
    <w:rsid w:val="00B2511B"/>
    <w:rsid w:val="00B25549"/>
    <w:rsid w:val="00B258F7"/>
    <w:rsid w:val="00B25C72"/>
    <w:rsid w:val="00B25E6F"/>
    <w:rsid w:val="00B269C1"/>
    <w:rsid w:val="00B27220"/>
    <w:rsid w:val="00B27A6D"/>
    <w:rsid w:val="00B27CC0"/>
    <w:rsid w:val="00B3027F"/>
    <w:rsid w:val="00B30553"/>
    <w:rsid w:val="00B308F8"/>
    <w:rsid w:val="00B3098F"/>
    <w:rsid w:val="00B30A2A"/>
    <w:rsid w:val="00B30B07"/>
    <w:rsid w:val="00B30BCF"/>
    <w:rsid w:val="00B30D67"/>
    <w:rsid w:val="00B3148B"/>
    <w:rsid w:val="00B314D0"/>
    <w:rsid w:val="00B31F6E"/>
    <w:rsid w:val="00B324B7"/>
    <w:rsid w:val="00B3254C"/>
    <w:rsid w:val="00B325BF"/>
    <w:rsid w:val="00B329FF"/>
    <w:rsid w:val="00B32E23"/>
    <w:rsid w:val="00B32F2D"/>
    <w:rsid w:val="00B32FAE"/>
    <w:rsid w:val="00B33321"/>
    <w:rsid w:val="00B3370B"/>
    <w:rsid w:val="00B34296"/>
    <w:rsid w:val="00B344C2"/>
    <w:rsid w:val="00B34BEF"/>
    <w:rsid w:val="00B34C4E"/>
    <w:rsid w:val="00B3517D"/>
    <w:rsid w:val="00B35221"/>
    <w:rsid w:val="00B35520"/>
    <w:rsid w:val="00B3621F"/>
    <w:rsid w:val="00B3637A"/>
    <w:rsid w:val="00B3690C"/>
    <w:rsid w:val="00B370C8"/>
    <w:rsid w:val="00B37B57"/>
    <w:rsid w:val="00B40330"/>
    <w:rsid w:val="00B406E5"/>
    <w:rsid w:val="00B4180D"/>
    <w:rsid w:val="00B41B90"/>
    <w:rsid w:val="00B4283B"/>
    <w:rsid w:val="00B42868"/>
    <w:rsid w:val="00B4299A"/>
    <w:rsid w:val="00B42A94"/>
    <w:rsid w:val="00B42B35"/>
    <w:rsid w:val="00B42C20"/>
    <w:rsid w:val="00B42D9A"/>
    <w:rsid w:val="00B42ED7"/>
    <w:rsid w:val="00B42F20"/>
    <w:rsid w:val="00B434EA"/>
    <w:rsid w:val="00B43697"/>
    <w:rsid w:val="00B43CED"/>
    <w:rsid w:val="00B444DD"/>
    <w:rsid w:val="00B44D47"/>
    <w:rsid w:val="00B44D96"/>
    <w:rsid w:val="00B4521F"/>
    <w:rsid w:val="00B45928"/>
    <w:rsid w:val="00B4592B"/>
    <w:rsid w:val="00B45E16"/>
    <w:rsid w:val="00B45E8C"/>
    <w:rsid w:val="00B46B3C"/>
    <w:rsid w:val="00B46D20"/>
    <w:rsid w:val="00B470FE"/>
    <w:rsid w:val="00B47148"/>
    <w:rsid w:val="00B479D1"/>
    <w:rsid w:val="00B47FE8"/>
    <w:rsid w:val="00B50036"/>
    <w:rsid w:val="00B505A9"/>
    <w:rsid w:val="00B50B5A"/>
    <w:rsid w:val="00B50F51"/>
    <w:rsid w:val="00B50F82"/>
    <w:rsid w:val="00B51403"/>
    <w:rsid w:val="00B51A2F"/>
    <w:rsid w:val="00B51B5B"/>
    <w:rsid w:val="00B51D5D"/>
    <w:rsid w:val="00B52111"/>
    <w:rsid w:val="00B528D0"/>
    <w:rsid w:val="00B52FAF"/>
    <w:rsid w:val="00B5323F"/>
    <w:rsid w:val="00B532DB"/>
    <w:rsid w:val="00B539EB"/>
    <w:rsid w:val="00B54550"/>
    <w:rsid w:val="00B5495B"/>
    <w:rsid w:val="00B54A5A"/>
    <w:rsid w:val="00B54ACB"/>
    <w:rsid w:val="00B54FEB"/>
    <w:rsid w:val="00B55695"/>
    <w:rsid w:val="00B562E6"/>
    <w:rsid w:val="00B5639B"/>
    <w:rsid w:val="00B5660B"/>
    <w:rsid w:val="00B576C3"/>
    <w:rsid w:val="00B576E1"/>
    <w:rsid w:val="00B60002"/>
    <w:rsid w:val="00B6004E"/>
    <w:rsid w:val="00B60477"/>
    <w:rsid w:val="00B60722"/>
    <w:rsid w:val="00B6072A"/>
    <w:rsid w:val="00B608F1"/>
    <w:rsid w:val="00B60F79"/>
    <w:rsid w:val="00B61337"/>
    <w:rsid w:val="00B6166D"/>
    <w:rsid w:val="00B61B49"/>
    <w:rsid w:val="00B6254F"/>
    <w:rsid w:val="00B62EE3"/>
    <w:rsid w:val="00B6317C"/>
    <w:rsid w:val="00B63591"/>
    <w:rsid w:val="00B635C6"/>
    <w:rsid w:val="00B63704"/>
    <w:rsid w:val="00B63742"/>
    <w:rsid w:val="00B637D9"/>
    <w:rsid w:val="00B63B4A"/>
    <w:rsid w:val="00B64496"/>
    <w:rsid w:val="00B64498"/>
    <w:rsid w:val="00B644F7"/>
    <w:rsid w:val="00B6604C"/>
    <w:rsid w:val="00B664B0"/>
    <w:rsid w:val="00B667A5"/>
    <w:rsid w:val="00B66853"/>
    <w:rsid w:val="00B67120"/>
    <w:rsid w:val="00B673CA"/>
    <w:rsid w:val="00B6753E"/>
    <w:rsid w:val="00B67550"/>
    <w:rsid w:val="00B676CA"/>
    <w:rsid w:val="00B679F5"/>
    <w:rsid w:val="00B70D3E"/>
    <w:rsid w:val="00B7112A"/>
    <w:rsid w:val="00B7117A"/>
    <w:rsid w:val="00B71203"/>
    <w:rsid w:val="00B715E1"/>
    <w:rsid w:val="00B72053"/>
    <w:rsid w:val="00B7234F"/>
    <w:rsid w:val="00B72537"/>
    <w:rsid w:val="00B73B57"/>
    <w:rsid w:val="00B746D5"/>
    <w:rsid w:val="00B74753"/>
    <w:rsid w:val="00B74BDA"/>
    <w:rsid w:val="00B75037"/>
    <w:rsid w:val="00B75159"/>
    <w:rsid w:val="00B751C0"/>
    <w:rsid w:val="00B7573D"/>
    <w:rsid w:val="00B759D6"/>
    <w:rsid w:val="00B75AAD"/>
    <w:rsid w:val="00B75D3F"/>
    <w:rsid w:val="00B7745A"/>
    <w:rsid w:val="00B77723"/>
    <w:rsid w:val="00B77ABB"/>
    <w:rsid w:val="00B77CA5"/>
    <w:rsid w:val="00B77E12"/>
    <w:rsid w:val="00B802CA"/>
    <w:rsid w:val="00B80B08"/>
    <w:rsid w:val="00B81504"/>
    <w:rsid w:val="00B8154C"/>
    <w:rsid w:val="00B815D3"/>
    <w:rsid w:val="00B818D4"/>
    <w:rsid w:val="00B81DB8"/>
    <w:rsid w:val="00B82C5D"/>
    <w:rsid w:val="00B82DE1"/>
    <w:rsid w:val="00B83476"/>
    <w:rsid w:val="00B835D2"/>
    <w:rsid w:val="00B836B0"/>
    <w:rsid w:val="00B842EE"/>
    <w:rsid w:val="00B8438E"/>
    <w:rsid w:val="00B843A1"/>
    <w:rsid w:val="00B8487D"/>
    <w:rsid w:val="00B848BE"/>
    <w:rsid w:val="00B84978"/>
    <w:rsid w:val="00B84FF8"/>
    <w:rsid w:val="00B8573A"/>
    <w:rsid w:val="00B85861"/>
    <w:rsid w:val="00B85AE3"/>
    <w:rsid w:val="00B85CEA"/>
    <w:rsid w:val="00B86071"/>
    <w:rsid w:val="00B861A7"/>
    <w:rsid w:val="00B870B0"/>
    <w:rsid w:val="00B8748B"/>
    <w:rsid w:val="00B8792C"/>
    <w:rsid w:val="00B87BC1"/>
    <w:rsid w:val="00B87F56"/>
    <w:rsid w:val="00B90D10"/>
    <w:rsid w:val="00B9103E"/>
    <w:rsid w:val="00B911CB"/>
    <w:rsid w:val="00B913F2"/>
    <w:rsid w:val="00B9179C"/>
    <w:rsid w:val="00B91818"/>
    <w:rsid w:val="00B919AB"/>
    <w:rsid w:val="00B9258B"/>
    <w:rsid w:val="00B927B0"/>
    <w:rsid w:val="00B927EB"/>
    <w:rsid w:val="00B92F7A"/>
    <w:rsid w:val="00B93597"/>
    <w:rsid w:val="00B94798"/>
    <w:rsid w:val="00B947FD"/>
    <w:rsid w:val="00B94BE5"/>
    <w:rsid w:val="00B96011"/>
    <w:rsid w:val="00B965AF"/>
    <w:rsid w:val="00B97182"/>
    <w:rsid w:val="00B97459"/>
    <w:rsid w:val="00B977A2"/>
    <w:rsid w:val="00B97927"/>
    <w:rsid w:val="00B97DBD"/>
    <w:rsid w:val="00BA0255"/>
    <w:rsid w:val="00BA02A6"/>
    <w:rsid w:val="00BA064A"/>
    <w:rsid w:val="00BA06D4"/>
    <w:rsid w:val="00BA075F"/>
    <w:rsid w:val="00BA0827"/>
    <w:rsid w:val="00BA0A76"/>
    <w:rsid w:val="00BA0D2A"/>
    <w:rsid w:val="00BA0FA7"/>
    <w:rsid w:val="00BA1218"/>
    <w:rsid w:val="00BA1B48"/>
    <w:rsid w:val="00BA1D32"/>
    <w:rsid w:val="00BA256B"/>
    <w:rsid w:val="00BA3A2C"/>
    <w:rsid w:val="00BA3DFA"/>
    <w:rsid w:val="00BA4246"/>
    <w:rsid w:val="00BA45BC"/>
    <w:rsid w:val="00BA4671"/>
    <w:rsid w:val="00BA4D83"/>
    <w:rsid w:val="00BA52C1"/>
    <w:rsid w:val="00BA52DB"/>
    <w:rsid w:val="00BA58C0"/>
    <w:rsid w:val="00BA6166"/>
    <w:rsid w:val="00BA683A"/>
    <w:rsid w:val="00BA739B"/>
    <w:rsid w:val="00BA76B1"/>
    <w:rsid w:val="00BA7CCB"/>
    <w:rsid w:val="00BB0423"/>
    <w:rsid w:val="00BB0463"/>
    <w:rsid w:val="00BB090B"/>
    <w:rsid w:val="00BB0C7A"/>
    <w:rsid w:val="00BB1CBD"/>
    <w:rsid w:val="00BB1EA8"/>
    <w:rsid w:val="00BB2573"/>
    <w:rsid w:val="00BB2B0D"/>
    <w:rsid w:val="00BB2B1F"/>
    <w:rsid w:val="00BB2F0B"/>
    <w:rsid w:val="00BB36C5"/>
    <w:rsid w:val="00BB4AB6"/>
    <w:rsid w:val="00BB4C56"/>
    <w:rsid w:val="00BB4F9A"/>
    <w:rsid w:val="00BB5F6C"/>
    <w:rsid w:val="00BB60C3"/>
    <w:rsid w:val="00BB613F"/>
    <w:rsid w:val="00BB61B4"/>
    <w:rsid w:val="00BB6796"/>
    <w:rsid w:val="00BB690D"/>
    <w:rsid w:val="00BB69B6"/>
    <w:rsid w:val="00BB6C88"/>
    <w:rsid w:val="00BB6ECF"/>
    <w:rsid w:val="00BB74B3"/>
    <w:rsid w:val="00BB76A1"/>
    <w:rsid w:val="00BB777A"/>
    <w:rsid w:val="00BB7C25"/>
    <w:rsid w:val="00BB7F43"/>
    <w:rsid w:val="00BC0B9D"/>
    <w:rsid w:val="00BC0C2F"/>
    <w:rsid w:val="00BC0C5F"/>
    <w:rsid w:val="00BC11CE"/>
    <w:rsid w:val="00BC1286"/>
    <w:rsid w:val="00BC137D"/>
    <w:rsid w:val="00BC1424"/>
    <w:rsid w:val="00BC1765"/>
    <w:rsid w:val="00BC1B29"/>
    <w:rsid w:val="00BC1CC3"/>
    <w:rsid w:val="00BC1DFC"/>
    <w:rsid w:val="00BC2243"/>
    <w:rsid w:val="00BC23E1"/>
    <w:rsid w:val="00BC28A7"/>
    <w:rsid w:val="00BC2CA6"/>
    <w:rsid w:val="00BC2E93"/>
    <w:rsid w:val="00BC3668"/>
    <w:rsid w:val="00BC475C"/>
    <w:rsid w:val="00BC47D8"/>
    <w:rsid w:val="00BC51FA"/>
    <w:rsid w:val="00BC5454"/>
    <w:rsid w:val="00BC5961"/>
    <w:rsid w:val="00BC5C7A"/>
    <w:rsid w:val="00BC6288"/>
    <w:rsid w:val="00BC693E"/>
    <w:rsid w:val="00BC7DE9"/>
    <w:rsid w:val="00BD0152"/>
    <w:rsid w:val="00BD028F"/>
    <w:rsid w:val="00BD03C9"/>
    <w:rsid w:val="00BD07F4"/>
    <w:rsid w:val="00BD0F9D"/>
    <w:rsid w:val="00BD137C"/>
    <w:rsid w:val="00BD1693"/>
    <w:rsid w:val="00BD16D1"/>
    <w:rsid w:val="00BD18CA"/>
    <w:rsid w:val="00BD1D0B"/>
    <w:rsid w:val="00BD1DEE"/>
    <w:rsid w:val="00BD219A"/>
    <w:rsid w:val="00BD2539"/>
    <w:rsid w:val="00BD26D8"/>
    <w:rsid w:val="00BD2C2C"/>
    <w:rsid w:val="00BD2C42"/>
    <w:rsid w:val="00BD2F2C"/>
    <w:rsid w:val="00BD307A"/>
    <w:rsid w:val="00BD3698"/>
    <w:rsid w:val="00BD4119"/>
    <w:rsid w:val="00BD44A4"/>
    <w:rsid w:val="00BD4655"/>
    <w:rsid w:val="00BD4D35"/>
    <w:rsid w:val="00BD50A8"/>
    <w:rsid w:val="00BD55C0"/>
    <w:rsid w:val="00BD58F5"/>
    <w:rsid w:val="00BD5908"/>
    <w:rsid w:val="00BD65B1"/>
    <w:rsid w:val="00BD65E1"/>
    <w:rsid w:val="00BD6A70"/>
    <w:rsid w:val="00BD6BF2"/>
    <w:rsid w:val="00BD6EF9"/>
    <w:rsid w:val="00BD6F1C"/>
    <w:rsid w:val="00BD754C"/>
    <w:rsid w:val="00BD7568"/>
    <w:rsid w:val="00BD772A"/>
    <w:rsid w:val="00BD7970"/>
    <w:rsid w:val="00BD7E1A"/>
    <w:rsid w:val="00BE02E5"/>
    <w:rsid w:val="00BE08AB"/>
    <w:rsid w:val="00BE1590"/>
    <w:rsid w:val="00BE16FA"/>
    <w:rsid w:val="00BE194D"/>
    <w:rsid w:val="00BE1C76"/>
    <w:rsid w:val="00BE1EB6"/>
    <w:rsid w:val="00BE235C"/>
    <w:rsid w:val="00BE29DD"/>
    <w:rsid w:val="00BE2AB1"/>
    <w:rsid w:val="00BE2BE7"/>
    <w:rsid w:val="00BE35C9"/>
    <w:rsid w:val="00BE3A79"/>
    <w:rsid w:val="00BE3B80"/>
    <w:rsid w:val="00BE3F85"/>
    <w:rsid w:val="00BE418C"/>
    <w:rsid w:val="00BE4C3A"/>
    <w:rsid w:val="00BE576A"/>
    <w:rsid w:val="00BE5B3E"/>
    <w:rsid w:val="00BE6127"/>
    <w:rsid w:val="00BE72FD"/>
    <w:rsid w:val="00BE74D1"/>
    <w:rsid w:val="00BE786F"/>
    <w:rsid w:val="00BF07C0"/>
    <w:rsid w:val="00BF0993"/>
    <w:rsid w:val="00BF0C38"/>
    <w:rsid w:val="00BF1292"/>
    <w:rsid w:val="00BF139F"/>
    <w:rsid w:val="00BF1728"/>
    <w:rsid w:val="00BF1EF8"/>
    <w:rsid w:val="00BF2674"/>
    <w:rsid w:val="00BF288E"/>
    <w:rsid w:val="00BF2DE5"/>
    <w:rsid w:val="00BF3C29"/>
    <w:rsid w:val="00BF42A3"/>
    <w:rsid w:val="00BF4339"/>
    <w:rsid w:val="00BF4AD7"/>
    <w:rsid w:val="00BF4C49"/>
    <w:rsid w:val="00BF5DA2"/>
    <w:rsid w:val="00BF6338"/>
    <w:rsid w:val="00BF63D1"/>
    <w:rsid w:val="00BF6536"/>
    <w:rsid w:val="00BF6679"/>
    <w:rsid w:val="00BF6D56"/>
    <w:rsid w:val="00BF7325"/>
    <w:rsid w:val="00BF7DFA"/>
    <w:rsid w:val="00C003F5"/>
    <w:rsid w:val="00C0079D"/>
    <w:rsid w:val="00C009DF"/>
    <w:rsid w:val="00C00B99"/>
    <w:rsid w:val="00C00D03"/>
    <w:rsid w:val="00C00DB1"/>
    <w:rsid w:val="00C01151"/>
    <w:rsid w:val="00C017B2"/>
    <w:rsid w:val="00C01C7E"/>
    <w:rsid w:val="00C01DD3"/>
    <w:rsid w:val="00C01DFC"/>
    <w:rsid w:val="00C02205"/>
    <w:rsid w:val="00C0268F"/>
    <w:rsid w:val="00C0282B"/>
    <w:rsid w:val="00C029A0"/>
    <w:rsid w:val="00C02CA7"/>
    <w:rsid w:val="00C02E62"/>
    <w:rsid w:val="00C03D01"/>
    <w:rsid w:val="00C04382"/>
    <w:rsid w:val="00C04ABC"/>
    <w:rsid w:val="00C04F22"/>
    <w:rsid w:val="00C05343"/>
    <w:rsid w:val="00C05381"/>
    <w:rsid w:val="00C06076"/>
    <w:rsid w:val="00C0629E"/>
    <w:rsid w:val="00C067E0"/>
    <w:rsid w:val="00C06EF0"/>
    <w:rsid w:val="00C074B8"/>
    <w:rsid w:val="00C075D0"/>
    <w:rsid w:val="00C1025D"/>
    <w:rsid w:val="00C103AB"/>
    <w:rsid w:val="00C10466"/>
    <w:rsid w:val="00C11821"/>
    <w:rsid w:val="00C11E30"/>
    <w:rsid w:val="00C12656"/>
    <w:rsid w:val="00C12999"/>
    <w:rsid w:val="00C12D93"/>
    <w:rsid w:val="00C12EE2"/>
    <w:rsid w:val="00C13419"/>
    <w:rsid w:val="00C139DE"/>
    <w:rsid w:val="00C13B55"/>
    <w:rsid w:val="00C13C3F"/>
    <w:rsid w:val="00C13CBD"/>
    <w:rsid w:val="00C13DB6"/>
    <w:rsid w:val="00C13E07"/>
    <w:rsid w:val="00C142BD"/>
    <w:rsid w:val="00C143D5"/>
    <w:rsid w:val="00C148E5"/>
    <w:rsid w:val="00C14B4C"/>
    <w:rsid w:val="00C14B57"/>
    <w:rsid w:val="00C159C1"/>
    <w:rsid w:val="00C15D34"/>
    <w:rsid w:val="00C16489"/>
    <w:rsid w:val="00C1661A"/>
    <w:rsid w:val="00C16848"/>
    <w:rsid w:val="00C168C0"/>
    <w:rsid w:val="00C168D4"/>
    <w:rsid w:val="00C16BF9"/>
    <w:rsid w:val="00C1711E"/>
    <w:rsid w:val="00C1746D"/>
    <w:rsid w:val="00C174C6"/>
    <w:rsid w:val="00C17E6E"/>
    <w:rsid w:val="00C2001A"/>
    <w:rsid w:val="00C20915"/>
    <w:rsid w:val="00C21A06"/>
    <w:rsid w:val="00C221D0"/>
    <w:rsid w:val="00C22309"/>
    <w:rsid w:val="00C23513"/>
    <w:rsid w:val="00C23520"/>
    <w:rsid w:val="00C2366E"/>
    <w:rsid w:val="00C23E35"/>
    <w:rsid w:val="00C23FA9"/>
    <w:rsid w:val="00C24097"/>
    <w:rsid w:val="00C24568"/>
    <w:rsid w:val="00C246D7"/>
    <w:rsid w:val="00C24DA9"/>
    <w:rsid w:val="00C24DC0"/>
    <w:rsid w:val="00C24F12"/>
    <w:rsid w:val="00C24F98"/>
    <w:rsid w:val="00C25082"/>
    <w:rsid w:val="00C25277"/>
    <w:rsid w:val="00C25E6A"/>
    <w:rsid w:val="00C25E7D"/>
    <w:rsid w:val="00C25F06"/>
    <w:rsid w:val="00C265D4"/>
    <w:rsid w:val="00C26A80"/>
    <w:rsid w:val="00C26FCA"/>
    <w:rsid w:val="00C273AE"/>
    <w:rsid w:val="00C27589"/>
    <w:rsid w:val="00C275FC"/>
    <w:rsid w:val="00C27D57"/>
    <w:rsid w:val="00C27E01"/>
    <w:rsid w:val="00C30C46"/>
    <w:rsid w:val="00C30D84"/>
    <w:rsid w:val="00C30FD6"/>
    <w:rsid w:val="00C31196"/>
    <w:rsid w:val="00C3145E"/>
    <w:rsid w:val="00C3152A"/>
    <w:rsid w:val="00C315AE"/>
    <w:rsid w:val="00C315D3"/>
    <w:rsid w:val="00C3160C"/>
    <w:rsid w:val="00C317A7"/>
    <w:rsid w:val="00C31EE1"/>
    <w:rsid w:val="00C321CD"/>
    <w:rsid w:val="00C32310"/>
    <w:rsid w:val="00C33431"/>
    <w:rsid w:val="00C33670"/>
    <w:rsid w:val="00C337A9"/>
    <w:rsid w:val="00C33953"/>
    <w:rsid w:val="00C33AEC"/>
    <w:rsid w:val="00C341FB"/>
    <w:rsid w:val="00C34536"/>
    <w:rsid w:val="00C34CDD"/>
    <w:rsid w:val="00C35DE8"/>
    <w:rsid w:val="00C3608B"/>
    <w:rsid w:val="00C36203"/>
    <w:rsid w:val="00C365EB"/>
    <w:rsid w:val="00C36B2D"/>
    <w:rsid w:val="00C36E09"/>
    <w:rsid w:val="00C37532"/>
    <w:rsid w:val="00C37A82"/>
    <w:rsid w:val="00C37CDE"/>
    <w:rsid w:val="00C37E36"/>
    <w:rsid w:val="00C40069"/>
    <w:rsid w:val="00C40C58"/>
    <w:rsid w:val="00C410D2"/>
    <w:rsid w:val="00C412B8"/>
    <w:rsid w:val="00C416C7"/>
    <w:rsid w:val="00C417CD"/>
    <w:rsid w:val="00C41AFB"/>
    <w:rsid w:val="00C41C08"/>
    <w:rsid w:val="00C4253E"/>
    <w:rsid w:val="00C42580"/>
    <w:rsid w:val="00C42A78"/>
    <w:rsid w:val="00C42FB2"/>
    <w:rsid w:val="00C433BA"/>
    <w:rsid w:val="00C435C8"/>
    <w:rsid w:val="00C437D6"/>
    <w:rsid w:val="00C43C3F"/>
    <w:rsid w:val="00C4426C"/>
    <w:rsid w:val="00C4471A"/>
    <w:rsid w:val="00C449E2"/>
    <w:rsid w:val="00C44CC9"/>
    <w:rsid w:val="00C44E13"/>
    <w:rsid w:val="00C44FD9"/>
    <w:rsid w:val="00C45350"/>
    <w:rsid w:val="00C4555D"/>
    <w:rsid w:val="00C45DD1"/>
    <w:rsid w:val="00C45F6D"/>
    <w:rsid w:val="00C45FDE"/>
    <w:rsid w:val="00C4601D"/>
    <w:rsid w:val="00C4698B"/>
    <w:rsid w:val="00C46D3E"/>
    <w:rsid w:val="00C46FE3"/>
    <w:rsid w:val="00C473E7"/>
    <w:rsid w:val="00C47478"/>
    <w:rsid w:val="00C47BD2"/>
    <w:rsid w:val="00C47EBB"/>
    <w:rsid w:val="00C50B75"/>
    <w:rsid w:val="00C50DFC"/>
    <w:rsid w:val="00C5135F"/>
    <w:rsid w:val="00C51880"/>
    <w:rsid w:val="00C51FA8"/>
    <w:rsid w:val="00C51FF0"/>
    <w:rsid w:val="00C5259A"/>
    <w:rsid w:val="00C52782"/>
    <w:rsid w:val="00C52880"/>
    <w:rsid w:val="00C52BE9"/>
    <w:rsid w:val="00C52D4E"/>
    <w:rsid w:val="00C5300F"/>
    <w:rsid w:val="00C53027"/>
    <w:rsid w:val="00C5304D"/>
    <w:rsid w:val="00C53721"/>
    <w:rsid w:val="00C53EE2"/>
    <w:rsid w:val="00C54182"/>
    <w:rsid w:val="00C54473"/>
    <w:rsid w:val="00C5521D"/>
    <w:rsid w:val="00C55D94"/>
    <w:rsid w:val="00C572AC"/>
    <w:rsid w:val="00C57567"/>
    <w:rsid w:val="00C57582"/>
    <w:rsid w:val="00C579CF"/>
    <w:rsid w:val="00C6017A"/>
    <w:rsid w:val="00C6087E"/>
    <w:rsid w:val="00C608EF"/>
    <w:rsid w:val="00C60FC1"/>
    <w:rsid w:val="00C60FF0"/>
    <w:rsid w:val="00C612BB"/>
    <w:rsid w:val="00C612BF"/>
    <w:rsid w:val="00C612D7"/>
    <w:rsid w:val="00C619EE"/>
    <w:rsid w:val="00C6207E"/>
    <w:rsid w:val="00C625C7"/>
    <w:rsid w:val="00C628D3"/>
    <w:rsid w:val="00C6339B"/>
    <w:rsid w:val="00C63770"/>
    <w:rsid w:val="00C64682"/>
    <w:rsid w:val="00C64784"/>
    <w:rsid w:val="00C64AD8"/>
    <w:rsid w:val="00C64FAE"/>
    <w:rsid w:val="00C65320"/>
    <w:rsid w:val="00C65CEF"/>
    <w:rsid w:val="00C66344"/>
    <w:rsid w:val="00C663EE"/>
    <w:rsid w:val="00C66679"/>
    <w:rsid w:val="00C66D4A"/>
    <w:rsid w:val="00C66E0E"/>
    <w:rsid w:val="00C674F7"/>
    <w:rsid w:val="00C67584"/>
    <w:rsid w:val="00C67955"/>
    <w:rsid w:val="00C70074"/>
    <w:rsid w:val="00C70110"/>
    <w:rsid w:val="00C70244"/>
    <w:rsid w:val="00C70341"/>
    <w:rsid w:val="00C70438"/>
    <w:rsid w:val="00C7089C"/>
    <w:rsid w:val="00C70918"/>
    <w:rsid w:val="00C70E3F"/>
    <w:rsid w:val="00C70EE7"/>
    <w:rsid w:val="00C716CF"/>
    <w:rsid w:val="00C717CD"/>
    <w:rsid w:val="00C71AC2"/>
    <w:rsid w:val="00C722EE"/>
    <w:rsid w:val="00C725B9"/>
    <w:rsid w:val="00C726B3"/>
    <w:rsid w:val="00C72AE3"/>
    <w:rsid w:val="00C72B7C"/>
    <w:rsid w:val="00C72C5E"/>
    <w:rsid w:val="00C73402"/>
    <w:rsid w:val="00C7362E"/>
    <w:rsid w:val="00C7364B"/>
    <w:rsid w:val="00C74283"/>
    <w:rsid w:val="00C745D7"/>
    <w:rsid w:val="00C74865"/>
    <w:rsid w:val="00C74EE5"/>
    <w:rsid w:val="00C750BE"/>
    <w:rsid w:val="00C755C8"/>
    <w:rsid w:val="00C7584E"/>
    <w:rsid w:val="00C758E0"/>
    <w:rsid w:val="00C75A25"/>
    <w:rsid w:val="00C76C64"/>
    <w:rsid w:val="00C76DBB"/>
    <w:rsid w:val="00C7702A"/>
    <w:rsid w:val="00C773C7"/>
    <w:rsid w:val="00C773C8"/>
    <w:rsid w:val="00C77404"/>
    <w:rsid w:val="00C7746B"/>
    <w:rsid w:val="00C77524"/>
    <w:rsid w:val="00C77707"/>
    <w:rsid w:val="00C807B9"/>
    <w:rsid w:val="00C80827"/>
    <w:rsid w:val="00C80A25"/>
    <w:rsid w:val="00C80BF1"/>
    <w:rsid w:val="00C810F3"/>
    <w:rsid w:val="00C817D1"/>
    <w:rsid w:val="00C81DB4"/>
    <w:rsid w:val="00C81DF7"/>
    <w:rsid w:val="00C8242E"/>
    <w:rsid w:val="00C82930"/>
    <w:rsid w:val="00C82D33"/>
    <w:rsid w:val="00C8301A"/>
    <w:rsid w:val="00C834B3"/>
    <w:rsid w:val="00C835A1"/>
    <w:rsid w:val="00C83C43"/>
    <w:rsid w:val="00C83E34"/>
    <w:rsid w:val="00C84D4F"/>
    <w:rsid w:val="00C8531E"/>
    <w:rsid w:val="00C853A9"/>
    <w:rsid w:val="00C85644"/>
    <w:rsid w:val="00C8572E"/>
    <w:rsid w:val="00C85B6C"/>
    <w:rsid w:val="00C85E1F"/>
    <w:rsid w:val="00C86BFE"/>
    <w:rsid w:val="00C86D8A"/>
    <w:rsid w:val="00C873ED"/>
    <w:rsid w:val="00C87F73"/>
    <w:rsid w:val="00C87F8D"/>
    <w:rsid w:val="00C900B0"/>
    <w:rsid w:val="00C90164"/>
    <w:rsid w:val="00C90231"/>
    <w:rsid w:val="00C9080B"/>
    <w:rsid w:val="00C90CF6"/>
    <w:rsid w:val="00C90D8A"/>
    <w:rsid w:val="00C90EF9"/>
    <w:rsid w:val="00C9108F"/>
    <w:rsid w:val="00C91328"/>
    <w:rsid w:val="00C92029"/>
    <w:rsid w:val="00C92714"/>
    <w:rsid w:val="00C9286B"/>
    <w:rsid w:val="00C92949"/>
    <w:rsid w:val="00C92B1A"/>
    <w:rsid w:val="00C9312F"/>
    <w:rsid w:val="00C933D8"/>
    <w:rsid w:val="00C9358B"/>
    <w:rsid w:val="00C9397D"/>
    <w:rsid w:val="00C93DE5"/>
    <w:rsid w:val="00C94AD2"/>
    <w:rsid w:val="00C950CA"/>
    <w:rsid w:val="00C9564C"/>
    <w:rsid w:val="00C958E9"/>
    <w:rsid w:val="00C95ED6"/>
    <w:rsid w:val="00C95FCC"/>
    <w:rsid w:val="00C9741C"/>
    <w:rsid w:val="00CA001B"/>
    <w:rsid w:val="00CA1379"/>
    <w:rsid w:val="00CA1B03"/>
    <w:rsid w:val="00CA1DCF"/>
    <w:rsid w:val="00CA1FB0"/>
    <w:rsid w:val="00CA247A"/>
    <w:rsid w:val="00CA24D1"/>
    <w:rsid w:val="00CA27A0"/>
    <w:rsid w:val="00CA2E1D"/>
    <w:rsid w:val="00CA30A0"/>
    <w:rsid w:val="00CA324D"/>
    <w:rsid w:val="00CA39CC"/>
    <w:rsid w:val="00CA4404"/>
    <w:rsid w:val="00CA4743"/>
    <w:rsid w:val="00CA48B2"/>
    <w:rsid w:val="00CA52FB"/>
    <w:rsid w:val="00CA6014"/>
    <w:rsid w:val="00CA6568"/>
    <w:rsid w:val="00CA65FC"/>
    <w:rsid w:val="00CA6B6A"/>
    <w:rsid w:val="00CA735E"/>
    <w:rsid w:val="00CA73DD"/>
    <w:rsid w:val="00CA7931"/>
    <w:rsid w:val="00CA7D8A"/>
    <w:rsid w:val="00CB10A6"/>
    <w:rsid w:val="00CB1162"/>
    <w:rsid w:val="00CB138F"/>
    <w:rsid w:val="00CB13E0"/>
    <w:rsid w:val="00CB1B42"/>
    <w:rsid w:val="00CB2197"/>
    <w:rsid w:val="00CB22C2"/>
    <w:rsid w:val="00CB248C"/>
    <w:rsid w:val="00CB254E"/>
    <w:rsid w:val="00CB25B9"/>
    <w:rsid w:val="00CB2E34"/>
    <w:rsid w:val="00CB34D6"/>
    <w:rsid w:val="00CB3934"/>
    <w:rsid w:val="00CB4046"/>
    <w:rsid w:val="00CB43FA"/>
    <w:rsid w:val="00CB4EF9"/>
    <w:rsid w:val="00CB5810"/>
    <w:rsid w:val="00CB5A89"/>
    <w:rsid w:val="00CB5B31"/>
    <w:rsid w:val="00CB5BE7"/>
    <w:rsid w:val="00CB712E"/>
    <w:rsid w:val="00CB7234"/>
    <w:rsid w:val="00CB76B8"/>
    <w:rsid w:val="00CB7703"/>
    <w:rsid w:val="00CB783B"/>
    <w:rsid w:val="00CB7FBA"/>
    <w:rsid w:val="00CC1189"/>
    <w:rsid w:val="00CC19C4"/>
    <w:rsid w:val="00CC1F79"/>
    <w:rsid w:val="00CC203E"/>
    <w:rsid w:val="00CC23C6"/>
    <w:rsid w:val="00CC2803"/>
    <w:rsid w:val="00CC32F3"/>
    <w:rsid w:val="00CC3489"/>
    <w:rsid w:val="00CC3A68"/>
    <w:rsid w:val="00CC3E3F"/>
    <w:rsid w:val="00CC40A0"/>
    <w:rsid w:val="00CC468B"/>
    <w:rsid w:val="00CC4B5B"/>
    <w:rsid w:val="00CC56AF"/>
    <w:rsid w:val="00CC56C9"/>
    <w:rsid w:val="00CC6423"/>
    <w:rsid w:val="00CC657C"/>
    <w:rsid w:val="00CC68D6"/>
    <w:rsid w:val="00CC6DCB"/>
    <w:rsid w:val="00CC707F"/>
    <w:rsid w:val="00CC79CD"/>
    <w:rsid w:val="00CC7CC8"/>
    <w:rsid w:val="00CD0332"/>
    <w:rsid w:val="00CD06DB"/>
    <w:rsid w:val="00CD0761"/>
    <w:rsid w:val="00CD0CEE"/>
    <w:rsid w:val="00CD0E1F"/>
    <w:rsid w:val="00CD1841"/>
    <w:rsid w:val="00CD1BF1"/>
    <w:rsid w:val="00CD1E09"/>
    <w:rsid w:val="00CD2A3E"/>
    <w:rsid w:val="00CD31C1"/>
    <w:rsid w:val="00CD35F1"/>
    <w:rsid w:val="00CD3A98"/>
    <w:rsid w:val="00CD3EA4"/>
    <w:rsid w:val="00CD4704"/>
    <w:rsid w:val="00CD4AE1"/>
    <w:rsid w:val="00CD4B3B"/>
    <w:rsid w:val="00CD4C9C"/>
    <w:rsid w:val="00CD5401"/>
    <w:rsid w:val="00CD5716"/>
    <w:rsid w:val="00CD5927"/>
    <w:rsid w:val="00CD6422"/>
    <w:rsid w:val="00CD6524"/>
    <w:rsid w:val="00CD68DD"/>
    <w:rsid w:val="00CD6C24"/>
    <w:rsid w:val="00CD6C94"/>
    <w:rsid w:val="00CD7649"/>
    <w:rsid w:val="00CD7760"/>
    <w:rsid w:val="00CD794A"/>
    <w:rsid w:val="00CD7B8B"/>
    <w:rsid w:val="00CD7D8E"/>
    <w:rsid w:val="00CE0513"/>
    <w:rsid w:val="00CE073C"/>
    <w:rsid w:val="00CE08C7"/>
    <w:rsid w:val="00CE0AAE"/>
    <w:rsid w:val="00CE1374"/>
    <w:rsid w:val="00CE1D18"/>
    <w:rsid w:val="00CE23D8"/>
    <w:rsid w:val="00CE24CB"/>
    <w:rsid w:val="00CE2B04"/>
    <w:rsid w:val="00CE3F20"/>
    <w:rsid w:val="00CE42DF"/>
    <w:rsid w:val="00CE4565"/>
    <w:rsid w:val="00CE4E5D"/>
    <w:rsid w:val="00CE4F18"/>
    <w:rsid w:val="00CE50E8"/>
    <w:rsid w:val="00CE5298"/>
    <w:rsid w:val="00CE58EB"/>
    <w:rsid w:val="00CE596B"/>
    <w:rsid w:val="00CE5F0A"/>
    <w:rsid w:val="00CE643F"/>
    <w:rsid w:val="00CE681D"/>
    <w:rsid w:val="00CE6A32"/>
    <w:rsid w:val="00CE78C9"/>
    <w:rsid w:val="00CF0507"/>
    <w:rsid w:val="00CF091E"/>
    <w:rsid w:val="00CF0A69"/>
    <w:rsid w:val="00CF0C1D"/>
    <w:rsid w:val="00CF10F6"/>
    <w:rsid w:val="00CF12EC"/>
    <w:rsid w:val="00CF1331"/>
    <w:rsid w:val="00CF15E2"/>
    <w:rsid w:val="00CF184F"/>
    <w:rsid w:val="00CF1A09"/>
    <w:rsid w:val="00CF1E7E"/>
    <w:rsid w:val="00CF26A8"/>
    <w:rsid w:val="00CF3547"/>
    <w:rsid w:val="00CF35A2"/>
    <w:rsid w:val="00CF35B2"/>
    <w:rsid w:val="00CF38D4"/>
    <w:rsid w:val="00CF3AB9"/>
    <w:rsid w:val="00CF3BE7"/>
    <w:rsid w:val="00CF3F0D"/>
    <w:rsid w:val="00CF472E"/>
    <w:rsid w:val="00CF5056"/>
    <w:rsid w:val="00CF50F7"/>
    <w:rsid w:val="00CF5593"/>
    <w:rsid w:val="00CF5672"/>
    <w:rsid w:val="00CF5C9C"/>
    <w:rsid w:val="00CF5DB7"/>
    <w:rsid w:val="00CF60B2"/>
    <w:rsid w:val="00CF6BB9"/>
    <w:rsid w:val="00CF6DD6"/>
    <w:rsid w:val="00D00061"/>
    <w:rsid w:val="00D00798"/>
    <w:rsid w:val="00D00D14"/>
    <w:rsid w:val="00D00FDE"/>
    <w:rsid w:val="00D0121F"/>
    <w:rsid w:val="00D022D6"/>
    <w:rsid w:val="00D0244F"/>
    <w:rsid w:val="00D026EE"/>
    <w:rsid w:val="00D02876"/>
    <w:rsid w:val="00D0316E"/>
    <w:rsid w:val="00D03342"/>
    <w:rsid w:val="00D03563"/>
    <w:rsid w:val="00D03A13"/>
    <w:rsid w:val="00D03F31"/>
    <w:rsid w:val="00D041BF"/>
    <w:rsid w:val="00D04451"/>
    <w:rsid w:val="00D045FD"/>
    <w:rsid w:val="00D05061"/>
    <w:rsid w:val="00D0774F"/>
    <w:rsid w:val="00D10303"/>
    <w:rsid w:val="00D103E0"/>
    <w:rsid w:val="00D1060F"/>
    <w:rsid w:val="00D10E2C"/>
    <w:rsid w:val="00D1140B"/>
    <w:rsid w:val="00D11823"/>
    <w:rsid w:val="00D118F2"/>
    <w:rsid w:val="00D11D06"/>
    <w:rsid w:val="00D11E06"/>
    <w:rsid w:val="00D12105"/>
    <w:rsid w:val="00D12D32"/>
    <w:rsid w:val="00D12D86"/>
    <w:rsid w:val="00D12E0E"/>
    <w:rsid w:val="00D12F07"/>
    <w:rsid w:val="00D12FCB"/>
    <w:rsid w:val="00D130F7"/>
    <w:rsid w:val="00D132C3"/>
    <w:rsid w:val="00D13444"/>
    <w:rsid w:val="00D13887"/>
    <w:rsid w:val="00D140EF"/>
    <w:rsid w:val="00D1452D"/>
    <w:rsid w:val="00D148D1"/>
    <w:rsid w:val="00D149AD"/>
    <w:rsid w:val="00D14CD4"/>
    <w:rsid w:val="00D15416"/>
    <w:rsid w:val="00D159F8"/>
    <w:rsid w:val="00D1637D"/>
    <w:rsid w:val="00D16650"/>
    <w:rsid w:val="00D16C47"/>
    <w:rsid w:val="00D16CC4"/>
    <w:rsid w:val="00D1713A"/>
    <w:rsid w:val="00D171C8"/>
    <w:rsid w:val="00D17AFC"/>
    <w:rsid w:val="00D17CFB"/>
    <w:rsid w:val="00D17D1E"/>
    <w:rsid w:val="00D2009D"/>
    <w:rsid w:val="00D20822"/>
    <w:rsid w:val="00D20BE9"/>
    <w:rsid w:val="00D2110E"/>
    <w:rsid w:val="00D22287"/>
    <w:rsid w:val="00D22567"/>
    <w:rsid w:val="00D226B9"/>
    <w:rsid w:val="00D22D14"/>
    <w:rsid w:val="00D23437"/>
    <w:rsid w:val="00D2373E"/>
    <w:rsid w:val="00D2381C"/>
    <w:rsid w:val="00D23842"/>
    <w:rsid w:val="00D23A94"/>
    <w:rsid w:val="00D23F38"/>
    <w:rsid w:val="00D240BA"/>
    <w:rsid w:val="00D24346"/>
    <w:rsid w:val="00D244E1"/>
    <w:rsid w:val="00D2459A"/>
    <w:rsid w:val="00D248D9"/>
    <w:rsid w:val="00D24A5C"/>
    <w:rsid w:val="00D24B50"/>
    <w:rsid w:val="00D24CD7"/>
    <w:rsid w:val="00D24D7B"/>
    <w:rsid w:val="00D2502F"/>
    <w:rsid w:val="00D25100"/>
    <w:rsid w:val="00D25450"/>
    <w:rsid w:val="00D255E8"/>
    <w:rsid w:val="00D25A2B"/>
    <w:rsid w:val="00D25F3E"/>
    <w:rsid w:val="00D26C87"/>
    <w:rsid w:val="00D26D27"/>
    <w:rsid w:val="00D26D53"/>
    <w:rsid w:val="00D26EF3"/>
    <w:rsid w:val="00D27131"/>
    <w:rsid w:val="00D30013"/>
    <w:rsid w:val="00D301AC"/>
    <w:rsid w:val="00D30336"/>
    <w:rsid w:val="00D30815"/>
    <w:rsid w:val="00D30C28"/>
    <w:rsid w:val="00D30F3A"/>
    <w:rsid w:val="00D31BBD"/>
    <w:rsid w:val="00D31BEC"/>
    <w:rsid w:val="00D32104"/>
    <w:rsid w:val="00D329A0"/>
    <w:rsid w:val="00D32B44"/>
    <w:rsid w:val="00D32CE1"/>
    <w:rsid w:val="00D32E58"/>
    <w:rsid w:val="00D32EA9"/>
    <w:rsid w:val="00D33010"/>
    <w:rsid w:val="00D33362"/>
    <w:rsid w:val="00D334CD"/>
    <w:rsid w:val="00D3395C"/>
    <w:rsid w:val="00D34412"/>
    <w:rsid w:val="00D34D6B"/>
    <w:rsid w:val="00D354AD"/>
    <w:rsid w:val="00D35628"/>
    <w:rsid w:val="00D35BAA"/>
    <w:rsid w:val="00D36072"/>
    <w:rsid w:val="00D36122"/>
    <w:rsid w:val="00D36D3C"/>
    <w:rsid w:val="00D36ED8"/>
    <w:rsid w:val="00D37346"/>
    <w:rsid w:val="00D3756A"/>
    <w:rsid w:val="00D375DA"/>
    <w:rsid w:val="00D377AE"/>
    <w:rsid w:val="00D400D8"/>
    <w:rsid w:val="00D40342"/>
    <w:rsid w:val="00D404B1"/>
    <w:rsid w:val="00D4113F"/>
    <w:rsid w:val="00D4119C"/>
    <w:rsid w:val="00D412B3"/>
    <w:rsid w:val="00D41378"/>
    <w:rsid w:val="00D41616"/>
    <w:rsid w:val="00D418D3"/>
    <w:rsid w:val="00D42B1F"/>
    <w:rsid w:val="00D42CD9"/>
    <w:rsid w:val="00D43988"/>
    <w:rsid w:val="00D43AC4"/>
    <w:rsid w:val="00D43DBF"/>
    <w:rsid w:val="00D44448"/>
    <w:rsid w:val="00D44869"/>
    <w:rsid w:val="00D44B46"/>
    <w:rsid w:val="00D44BDE"/>
    <w:rsid w:val="00D44E88"/>
    <w:rsid w:val="00D45B50"/>
    <w:rsid w:val="00D45CA8"/>
    <w:rsid w:val="00D46109"/>
    <w:rsid w:val="00D4692A"/>
    <w:rsid w:val="00D46C3C"/>
    <w:rsid w:val="00D46D0E"/>
    <w:rsid w:val="00D46E71"/>
    <w:rsid w:val="00D4707E"/>
    <w:rsid w:val="00D4721D"/>
    <w:rsid w:val="00D4722D"/>
    <w:rsid w:val="00D47867"/>
    <w:rsid w:val="00D4788F"/>
    <w:rsid w:val="00D47D6E"/>
    <w:rsid w:val="00D47E2C"/>
    <w:rsid w:val="00D47EAF"/>
    <w:rsid w:val="00D504F6"/>
    <w:rsid w:val="00D50C02"/>
    <w:rsid w:val="00D50E7A"/>
    <w:rsid w:val="00D50EF0"/>
    <w:rsid w:val="00D512EA"/>
    <w:rsid w:val="00D51552"/>
    <w:rsid w:val="00D51B27"/>
    <w:rsid w:val="00D52197"/>
    <w:rsid w:val="00D5227E"/>
    <w:rsid w:val="00D5242C"/>
    <w:rsid w:val="00D52583"/>
    <w:rsid w:val="00D52D7F"/>
    <w:rsid w:val="00D52F8D"/>
    <w:rsid w:val="00D53034"/>
    <w:rsid w:val="00D532F5"/>
    <w:rsid w:val="00D5331B"/>
    <w:rsid w:val="00D538FE"/>
    <w:rsid w:val="00D54373"/>
    <w:rsid w:val="00D545E9"/>
    <w:rsid w:val="00D54785"/>
    <w:rsid w:val="00D547BC"/>
    <w:rsid w:val="00D54A35"/>
    <w:rsid w:val="00D54E43"/>
    <w:rsid w:val="00D54F28"/>
    <w:rsid w:val="00D559DA"/>
    <w:rsid w:val="00D55A05"/>
    <w:rsid w:val="00D55E57"/>
    <w:rsid w:val="00D564EF"/>
    <w:rsid w:val="00D5676E"/>
    <w:rsid w:val="00D56DB7"/>
    <w:rsid w:val="00D570FB"/>
    <w:rsid w:val="00D57447"/>
    <w:rsid w:val="00D60111"/>
    <w:rsid w:val="00D60231"/>
    <w:rsid w:val="00D60E3C"/>
    <w:rsid w:val="00D60FC5"/>
    <w:rsid w:val="00D613B2"/>
    <w:rsid w:val="00D61A8C"/>
    <w:rsid w:val="00D61A9F"/>
    <w:rsid w:val="00D61EDD"/>
    <w:rsid w:val="00D621D0"/>
    <w:rsid w:val="00D62481"/>
    <w:rsid w:val="00D628AF"/>
    <w:rsid w:val="00D6294B"/>
    <w:rsid w:val="00D62AF3"/>
    <w:rsid w:val="00D630BA"/>
    <w:rsid w:val="00D630EE"/>
    <w:rsid w:val="00D63413"/>
    <w:rsid w:val="00D63446"/>
    <w:rsid w:val="00D6353D"/>
    <w:rsid w:val="00D640B2"/>
    <w:rsid w:val="00D6429C"/>
    <w:rsid w:val="00D642D7"/>
    <w:rsid w:val="00D64490"/>
    <w:rsid w:val="00D64A3D"/>
    <w:rsid w:val="00D64CA4"/>
    <w:rsid w:val="00D65D91"/>
    <w:rsid w:val="00D662EE"/>
    <w:rsid w:val="00D66331"/>
    <w:rsid w:val="00D66405"/>
    <w:rsid w:val="00D66697"/>
    <w:rsid w:val="00D66EDC"/>
    <w:rsid w:val="00D6704C"/>
    <w:rsid w:val="00D670B7"/>
    <w:rsid w:val="00D6750E"/>
    <w:rsid w:val="00D67684"/>
    <w:rsid w:val="00D67ACA"/>
    <w:rsid w:val="00D67EA8"/>
    <w:rsid w:val="00D67F69"/>
    <w:rsid w:val="00D70737"/>
    <w:rsid w:val="00D70E58"/>
    <w:rsid w:val="00D71103"/>
    <w:rsid w:val="00D722B4"/>
    <w:rsid w:val="00D723EC"/>
    <w:rsid w:val="00D72420"/>
    <w:rsid w:val="00D72551"/>
    <w:rsid w:val="00D7255F"/>
    <w:rsid w:val="00D725C6"/>
    <w:rsid w:val="00D72DF4"/>
    <w:rsid w:val="00D72E06"/>
    <w:rsid w:val="00D731EC"/>
    <w:rsid w:val="00D73302"/>
    <w:rsid w:val="00D73ADE"/>
    <w:rsid w:val="00D73AF1"/>
    <w:rsid w:val="00D74504"/>
    <w:rsid w:val="00D74639"/>
    <w:rsid w:val="00D74DAF"/>
    <w:rsid w:val="00D74F04"/>
    <w:rsid w:val="00D75E74"/>
    <w:rsid w:val="00D762C4"/>
    <w:rsid w:val="00D76DDA"/>
    <w:rsid w:val="00D77EF0"/>
    <w:rsid w:val="00D77F35"/>
    <w:rsid w:val="00D80341"/>
    <w:rsid w:val="00D8093F"/>
    <w:rsid w:val="00D809B7"/>
    <w:rsid w:val="00D8101C"/>
    <w:rsid w:val="00D810C4"/>
    <w:rsid w:val="00D813B0"/>
    <w:rsid w:val="00D81A57"/>
    <w:rsid w:val="00D81FFC"/>
    <w:rsid w:val="00D82A4C"/>
    <w:rsid w:val="00D82E01"/>
    <w:rsid w:val="00D837B4"/>
    <w:rsid w:val="00D83A8B"/>
    <w:rsid w:val="00D84061"/>
    <w:rsid w:val="00D844E7"/>
    <w:rsid w:val="00D8483A"/>
    <w:rsid w:val="00D84A17"/>
    <w:rsid w:val="00D85683"/>
    <w:rsid w:val="00D8682D"/>
    <w:rsid w:val="00D8687A"/>
    <w:rsid w:val="00D86B88"/>
    <w:rsid w:val="00D87125"/>
    <w:rsid w:val="00D87145"/>
    <w:rsid w:val="00D874FB"/>
    <w:rsid w:val="00D87776"/>
    <w:rsid w:val="00D87FDB"/>
    <w:rsid w:val="00D90EC1"/>
    <w:rsid w:val="00D90F8A"/>
    <w:rsid w:val="00D91579"/>
    <w:rsid w:val="00D91621"/>
    <w:rsid w:val="00D918C7"/>
    <w:rsid w:val="00D91B8F"/>
    <w:rsid w:val="00D924A0"/>
    <w:rsid w:val="00D92CF0"/>
    <w:rsid w:val="00D930F2"/>
    <w:rsid w:val="00D9310A"/>
    <w:rsid w:val="00D93342"/>
    <w:rsid w:val="00D93415"/>
    <w:rsid w:val="00D9450C"/>
    <w:rsid w:val="00D94D4B"/>
    <w:rsid w:val="00D94E0E"/>
    <w:rsid w:val="00D94F54"/>
    <w:rsid w:val="00D950AF"/>
    <w:rsid w:val="00D9545B"/>
    <w:rsid w:val="00D9553A"/>
    <w:rsid w:val="00D957EB"/>
    <w:rsid w:val="00D95A62"/>
    <w:rsid w:val="00D95BCF"/>
    <w:rsid w:val="00D95FC2"/>
    <w:rsid w:val="00D961EE"/>
    <w:rsid w:val="00D96952"/>
    <w:rsid w:val="00D96F32"/>
    <w:rsid w:val="00D97077"/>
    <w:rsid w:val="00D971AA"/>
    <w:rsid w:val="00D97308"/>
    <w:rsid w:val="00D9740F"/>
    <w:rsid w:val="00D97A89"/>
    <w:rsid w:val="00D97BA1"/>
    <w:rsid w:val="00D97D8B"/>
    <w:rsid w:val="00DA01BF"/>
    <w:rsid w:val="00DA02AD"/>
    <w:rsid w:val="00DA09FC"/>
    <w:rsid w:val="00DA0E8F"/>
    <w:rsid w:val="00DA1779"/>
    <w:rsid w:val="00DA1EE5"/>
    <w:rsid w:val="00DA263F"/>
    <w:rsid w:val="00DA2A54"/>
    <w:rsid w:val="00DA2CDD"/>
    <w:rsid w:val="00DA324E"/>
    <w:rsid w:val="00DA3D5A"/>
    <w:rsid w:val="00DA3D60"/>
    <w:rsid w:val="00DA44CF"/>
    <w:rsid w:val="00DA47B9"/>
    <w:rsid w:val="00DA498D"/>
    <w:rsid w:val="00DA51F4"/>
    <w:rsid w:val="00DA59D2"/>
    <w:rsid w:val="00DA60CB"/>
    <w:rsid w:val="00DA669D"/>
    <w:rsid w:val="00DA691E"/>
    <w:rsid w:val="00DA6DAA"/>
    <w:rsid w:val="00DA70B0"/>
    <w:rsid w:val="00DA776F"/>
    <w:rsid w:val="00DA7B84"/>
    <w:rsid w:val="00DB0FF5"/>
    <w:rsid w:val="00DB1749"/>
    <w:rsid w:val="00DB1FEA"/>
    <w:rsid w:val="00DB2948"/>
    <w:rsid w:val="00DB2B7E"/>
    <w:rsid w:val="00DB328A"/>
    <w:rsid w:val="00DB33D2"/>
    <w:rsid w:val="00DB36D2"/>
    <w:rsid w:val="00DB372C"/>
    <w:rsid w:val="00DB3785"/>
    <w:rsid w:val="00DB42F9"/>
    <w:rsid w:val="00DB452C"/>
    <w:rsid w:val="00DB476D"/>
    <w:rsid w:val="00DB47C5"/>
    <w:rsid w:val="00DB527B"/>
    <w:rsid w:val="00DB5719"/>
    <w:rsid w:val="00DB5D19"/>
    <w:rsid w:val="00DB5E4A"/>
    <w:rsid w:val="00DB6042"/>
    <w:rsid w:val="00DB624E"/>
    <w:rsid w:val="00DB6888"/>
    <w:rsid w:val="00DB68E8"/>
    <w:rsid w:val="00DB7A4B"/>
    <w:rsid w:val="00DC02EA"/>
    <w:rsid w:val="00DC0A52"/>
    <w:rsid w:val="00DC0BD5"/>
    <w:rsid w:val="00DC0BDC"/>
    <w:rsid w:val="00DC0E65"/>
    <w:rsid w:val="00DC0F49"/>
    <w:rsid w:val="00DC1103"/>
    <w:rsid w:val="00DC1117"/>
    <w:rsid w:val="00DC1228"/>
    <w:rsid w:val="00DC13E6"/>
    <w:rsid w:val="00DC1CA6"/>
    <w:rsid w:val="00DC20CF"/>
    <w:rsid w:val="00DC224D"/>
    <w:rsid w:val="00DC2259"/>
    <w:rsid w:val="00DC2623"/>
    <w:rsid w:val="00DC30AE"/>
    <w:rsid w:val="00DC31CC"/>
    <w:rsid w:val="00DC37FD"/>
    <w:rsid w:val="00DC3A8D"/>
    <w:rsid w:val="00DC5BD1"/>
    <w:rsid w:val="00DC6407"/>
    <w:rsid w:val="00DC67D4"/>
    <w:rsid w:val="00DC76C3"/>
    <w:rsid w:val="00DC77BF"/>
    <w:rsid w:val="00DC7A5D"/>
    <w:rsid w:val="00DC7BDA"/>
    <w:rsid w:val="00DC7E69"/>
    <w:rsid w:val="00DD02C0"/>
    <w:rsid w:val="00DD122C"/>
    <w:rsid w:val="00DD1B83"/>
    <w:rsid w:val="00DD1EC6"/>
    <w:rsid w:val="00DD2821"/>
    <w:rsid w:val="00DD2843"/>
    <w:rsid w:val="00DD2BAF"/>
    <w:rsid w:val="00DD2C41"/>
    <w:rsid w:val="00DD2E32"/>
    <w:rsid w:val="00DD3145"/>
    <w:rsid w:val="00DD3308"/>
    <w:rsid w:val="00DD3316"/>
    <w:rsid w:val="00DD38FE"/>
    <w:rsid w:val="00DD3E89"/>
    <w:rsid w:val="00DD40D7"/>
    <w:rsid w:val="00DD42D8"/>
    <w:rsid w:val="00DD460E"/>
    <w:rsid w:val="00DD4872"/>
    <w:rsid w:val="00DD4F5E"/>
    <w:rsid w:val="00DD5ADD"/>
    <w:rsid w:val="00DD5C82"/>
    <w:rsid w:val="00DD5E57"/>
    <w:rsid w:val="00DD6D69"/>
    <w:rsid w:val="00DD6DFD"/>
    <w:rsid w:val="00DD6E32"/>
    <w:rsid w:val="00DD70A2"/>
    <w:rsid w:val="00DD7695"/>
    <w:rsid w:val="00DE02BE"/>
    <w:rsid w:val="00DE139E"/>
    <w:rsid w:val="00DE146E"/>
    <w:rsid w:val="00DE1B0C"/>
    <w:rsid w:val="00DE2B78"/>
    <w:rsid w:val="00DE317C"/>
    <w:rsid w:val="00DE3385"/>
    <w:rsid w:val="00DE3554"/>
    <w:rsid w:val="00DE38A1"/>
    <w:rsid w:val="00DE4502"/>
    <w:rsid w:val="00DE4638"/>
    <w:rsid w:val="00DE4651"/>
    <w:rsid w:val="00DE4983"/>
    <w:rsid w:val="00DE6569"/>
    <w:rsid w:val="00DE66D7"/>
    <w:rsid w:val="00DE6A04"/>
    <w:rsid w:val="00DE6AAE"/>
    <w:rsid w:val="00DE6B84"/>
    <w:rsid w:val="00DE70A2"/>
    <w:rsid w:val="00DE7265"/>
    <w:rsid w:val="00DE7525"/>
    <w:rsid w:val="00DE7579"/>
    <w:rsid w:val="00DE7BDC"/>
    <w:rsid w:val="00DF048D"/>
    <w:rsid w:val="00DF1251"/>
    <w:rsid w:val="00DF1298"/>
    <w:rsid w:val="00DF1352"/>
    <w:rsid w:val="00DF16EB"/>
    <w:rsid w:val="00DF1791"/>
    <w:rsid w:val="00DF1AD3"/>
    <w:rsid w:val="00DF2353"/>
    <w:rsid w:val="00DF27FC"/>
    <w:rsid w:val="00DF2C54"/>
    <w:rsid w:val="00DF3724"/>
    <w:rsid w:val="00DF3837"/>
    <w:rsid w:val="00DF3A26"/>
    <w:rsid w:val="00DF3AB2"/>
    <w:rsid w:val="00DF6677"/>
    <w:rsid w:val="00DF6FBC"/>
    <w:rsid w:val="00DF75D9"/>
    <w:rsid w:val="00DF78B2"/>
    <w:rsid w:val="00DF7DD5"/>
    <w:rsid w:val="00DF7ED4"/>
    <w:rsid w:val="00E0054D"/>
    <w:rsid w:val="00E00684"/>
    <w:rsid w:val="00E0074B"/>
    <w:rsid w:val="00E00898"/>
    <w:rsid w:val="00E01CB2"/>
    <w:rsid w:val="00E01DD2"/>
    <w:rsid w:val="00E020A9"/>
    <w:rsid w:val="00E02546"/>
    <w:rsid w:val="00E0272B"/>
    <w:rsid w:val="00E02CFF"/>
    <w:rsid w:val="00E02E2F"/>
    <w:rsid w:val="00E03938"/>
    <w:rsid w:val="00E03CBD"/>
    <w:rsid w:val="00E03E83"/>
    <w:rsid w:val="00E042DE"/>
    <w:rsid w:val="00E04877"/>
    <w:rsid w:val="00E04C45"/>
    <w:rsid w:val="00E04D1C"/>
    <w:rsid w:val="00E05681"/>
    <w:rsid w:val="00E0576B"/>
    <w:rsid w:val="00E058EB"/>
    <w:rsid w:val="00E05A89"/>
    <w:rsid w:val="00E05FA9"/>
    <w:rsid w:val="00E0628E"/>
    <w:rsid w:val="00E06460"/>
    <w:rsid w:val="00E06826"/>
    <w:rsid w:val="00E0689E"/>
    <w:rsid w:val="00E073CF"/>
    <w:rsid w:val="00E07BA5"/>
    <w:rsid w:val="00E07F31"/>
    <w:rsid w:val="00E10C42"/>
    <w:rsid w:val="00E11C13"/>
    <w:rsid w:val="00E11F04"/>
    <w:rsid w:val="00E12535"/>
    <w:rsid w:val="00E12D89"/>
    <w:rsid w:val="00E13167"/>
    <w:rsid w:val="00E132BB"/>
    <w:rsid w:val="00E1340B"/>
    <w:rsid w:val="00E13602"/>
    <w:rsid w:val="00E13999"/>
    <w:rsid w:val="00E13F45"/>
    <w:rsid w:val="00E14108"/>
    <w:rsid w:val="00E1493B"/>
    <w:rsid w:val="00E149D3"/>
    <w:rsid w:val="00E14EE9"/>
    <w:rsid w:val="00E15082"/>
    <w:rsid w:val="00E15217"/>
    <w:rsid w:val="00E15282"/>
    <w:rsid w:val="00E1557E"/>
    <w:rsid w:val="00E158D0"/>
    <w:rsid w:val="00E15F3D"/>
    <w:rsid w:val="00E161AD"/>
    <w:rsid w:val="00E16931"/>
    <w:rsid w:val="00E16D18"/>
    <w:rsid w:val="00E16E3C"/>
    <w:rsid w:val="00E17050"/>
    <w:rsid w:val="00E17F53"/>
    <w:rsid w:val="00E2040B"/>
    <w:rsid w:val="00E211FF"/>
    <w:rsid w:val="00E21463"/>
    <w:rsid w:val="00E21479"/>
    <w:rsid w:val="00E21BA1"/>
    <w:rsid w:val="00E21DB7"/>
    <w:rsid w:val="00E2256E"/>
    <w:rsid w:val="00E23E47"/>
    <w:rsid w:val="00E24195"/>
    <w:rsid w:val="00E24567"/>
    <w:rsid w:val="00E249D9"/>
    <w:rsid w:val="00E25032"/>
    <w:rsid w:val="00E25124"/>
    <w:rsid w:val="00E25239"/>
    <w:rsid w:val="00E254D1"/>
    <w:rsid w:val="00E25814"/>
    <w:rsid w:val="00E25A4F"/>
    <w:rsid w:val="00E25AA4"/>
    <w:rsid w:val="00E261F8"/>
    <w:rsid w:val="00E2624E"/>
    <w:rsid w:val="00E2664B"/>
    <w:rsid w:val="00E268EB"/>
    <w:rsid w:val="00E26973"/>
    <w:rsid w:val="00E26E57"/>
    <w:rsid w:val="00E27467"/>
    <w:rsid w:val="00E278A8"/>
    <w:rsid w:val="00E27BEA"/>
    <w:rsid w:val="00E302E2"/>
    <w:rsid w:val="00E303A9"/>
    <w:rsid w:val="00E3043D"/>
    <w:rsid w:val="00E30628"/>
    <w:rsid w:val="00E30883"/>
    <w:rsid w:val="00E31251"/>
    <w:rsid w:val="00E32231"/>
    <w:rsid w:val="00E324AD"/>
    <w:rsid w:val="00E32E0C"/>
    <w:rsid w:val="00E32F9A"/>
    <w:rsid w:val="00E3336A"/>
    <w:rsid w:val="00E333FB"/>
    <w:rsid w:val="00E3342D"/>
    <w:rsid w:val="00E33683"/>
    <w:rsid w:val="00E33734"/>
    <w:rsid w:val="00E33C47"/>
    <w:rsid w:val="00E33C7F"/>
    <w:rsid w:val="00E33EE3"/>
    <w:rsid w:val="00E3440F"/>
    <w:rsid w:val="00E347F0"/>
    <w:rsid w:val="00E35085"/>
    <w:rsid w:val="00E35094"/>
    <w:rsid w:val="00E3527B"/>
    <w:rsid w:val="00E35693"/>
    <w:rsid w:val="00E356FF"/>
    <w:rsid w:val="00E36783"/>
    <w:rsid w:val="00E36A55"/>
    <w:rsid w:val="00E36CFA"/>
    <w:rsid w:val="00E36EB2"/>
    <w:rsid w:val="00E36F56"/>
    <w:rsid w:val="00E377A0"/>
    <w:rsid w:val="00E37D67"/>
    <w:rsid w:val="00E37D7C"/>
    <w:rsid w:val="00E37E51"/>
    <w:rsid w:val="00E4060A"/>
    <w:rsid w:val="00E4083B"/>
    <w:rsid w:val="00E40AEB"/>
    <w:rsid w:val="00E40F9D"/>
    <w:rsid w:val="00E4122C"/>
    <w:rsid w:val="00E417D0"/>
    <w:rsid w:val="00E422C4"/>
    <w:rsid w:val="00E429EC"/>
    <w:rsid w:val="00E43330"/>
    <w:rsid w:val="00E4335B"/>
    <w:rsid w:val="00E4341C"/>
    <w:rsid w:val="00E4380E"/>
    <w:rsid w:val="00E439F8"/>
    <w:rsid w:val="00E43AD8"/>
    <w:rsid w:val="00E43DC4"/>
    <w:rsid w:val="00E43DF0"/>
    <w:rsid w:val="00E4431C"/>
    <w:rsid w:val="00E44A0D"/>
    <w:rsid w:val="00E44CD4"/>
    <w:rsid w:val="00E450A6"/>
    <w:rsid w:val="00E455AB"/>
    <w:rsid w:val="00E459A0"/>
    <w:rsid w:val="00E45B91"/>
    <w:rsid w:val="00E46B50"/>
    <w:rsid w:val="00E46B92"/>
    <w:rsid w:val="00E46C57"/>
    <w:rsid w:val="00E46D9B"/>
    <w:rsid w:val="00E47385"/>
    <w:rsid w:val="00E50533"/>
    <w:rsid w:val="00E508F6"/>
    <w:rsid w:val="00E50D34"/>
    <w:rsid w:val="00E50EFE"/>
    <w:rsid w:val="00E50F7B"/>
    <w:rsid w:val="00E51467"/>
    <w:rsid w:val="00E5176B"/>
    <w:rsid w:val="00E51B5D"/>
    <w:rsid w:val="00E51CB9"/>
    <w:rsid w:val="00E527FE"/>
    <w:rsid w:val="00E528BA"/>
    <w:rsid w:val="00E52C8C"/>
    <w:rsid w:val="00E53671"/>
    <w:rsid w:val="00E539CD"/>
    <w:rsid w:val="00E53CAB"/>
    <w:rsid w:val="00E53D6A"/>
    <w:rsid w:val="00E540EA"/>
    <w:rsid w:val="00E55339"/>
    <w:rsid w:val="00E55538"/>
    <w:rsid w:val="00E55ADF"/>
    <w:rsid w:val="00E55E67"/>
    <w:rsid w:val="00E55FB1"/>
    <w:rsid w:val="00E565C2"/>
    <w:rsid w:val="00E56E95"/>
    <w:rsid w:val="00E56ECC"/>
    <w:rsid w:val="00E5731F"/>
    <w:rsid w:val="00E57F05"/>
    <w:rsid w:val="00E57F9B"/>
    <w:rsid w:val="00E60269"/>
    <w:rsid w:val="00E60358"/>
    <w:rsid w:val="00E60586"/>
    <w:rsid w:val="00E6073C"/>
    <w:rsid w:val="00E60B4F"/>
    <w:rsid w:val="00E60C32"/>
    <w:rsid w:val="00E616A2"/>
    <w:rsid w:val="00E6202B"/>
    <w:rsid w:val="00E625DE"/>
    <w:rsid w:val="00E627F6"/>
    <w:rsid w:val="00E62838"/>
    <w:rsid w:val="00E632C3"/>
    <w:rsid w:val="00E639E4"/>
    <w:rsid w:val="00E63AA2"/>
    <w:rsid w:val="00E63E8A"/>
    <w:rsid w:val="00E63F1D"/>
    <w:rsid w:val="00E63FD4"/>
    <w:rsid w:val="00E646D5"/>
    <w:rsid w:val="00E64A75"/>
    <w:rsid w:val="00E64B1B"/>
    <w:rsid w:val="00E65779"/>
    <w:rsid w:val="00E65F1E"/>
    <w:rsid w:val="00E6602D"/>
    <w:rsid w:val="00E6603D"/>
    <w:rsid w:val="00E668C7"/>
    <w:rsid w:val="00E67336"/>
    <w:rsid w:val="00E67343"/>
    <w:rsid w:val="00E67E86"/>
    <w:rsid w:val="00E7009F"/>
    <w:rsid w:val="00E70752"/>
    <w:rsid w:val="00E7153E"/>
    <w:rsid w:val="00E71650"/>
    <w:rsid w:val="00E729A3"/>
    <w:rsid w:val="00E72A7F"/>
    <w:rsid w:val="00E72E6E"/>
    <w:rsid w:val="00E72EC2"/>
    <w:rsid w:val="00E73199"/>
    <w:rsid w:val="00E73243"/>
    <w:rsid w:val="00E73610"/>
    <w:rsid w:val="00E7372A"/>
    <w:rsid w:val="00E73F08"/>
    <w:rsid w:val="00E7483A"/>
    <w:rsid w:val="00E74926"/>
    <w:rsid w:val="00E751CF"/>
    <w:rsid w:val="00E752A1"/>
    <w:rsid w:val="00E753AA"/>
    <w:rsid w:val="00E75A9D"/>
    <w:rsid w:val="00E75B62"/>
    <w:rsid w:val="00E75E7C"/>
    <w:rsid w:val="00E76210"/>
    <w:rsid w:val="00E76513"/>
    <w:rsid w:val="00E76686"/>
    <w:rsid w:val="00E76A32"/>
    <w:rsid w:val="00E76C5E"/>
    <w:rsid w:val="00E803C3"/>
    <w:rsid w:val="00E80872"/>
    <w:rsid w:val="00E80EFB"/>
    <w:rsid w:val="00E81B34"/>
    <w:rsid w:val="00E81B8E"/>
    <w:rsid w:val="00E81EBF"/>
    <w:rsid w:val="00E81ED7"/>
    <w:rsid w:val="00E8219D"/>
    <w:rsid w:val="00E82941"/>
    <w:rsid w:val="00E83371"/>
    <w:rsid w:val="00E83599"/>
    <w:rsid w:val="00E8377F"/>
    <w:rsid w:val="00E83C5F"/>
    <w:rsid w:val="00E83D4F"/>
    <w:rsid w:val="00E84889"/>
    <w:rsid w:val="00E84955"/>
    <w:rsid w:val="00E84D64"/>
    <w:rsid w:val="00E8543E"/>
    <w:rsid w:val="00E855CE"/>
    <w:rsid w:val="00E8607A"/>
    <w:rsid w:val="00E8623F"/>
    <w:rsid w:val="00E8704B"/>
    <w:rsid w:val="00E87631"/>
    <w:rsid w:val="00E878BE"/>
    <w:rsid w:val="00E87B69"/>
    <w:rsid w:val="00E87D52"/>
    <w:rsid w:val="00E87F00"/>
    <w:rsid w:val="00E87F4D"/>
    <w:rsid w:val="00E901BF"/>
    <w:rsid w:val="00E90407"/>
    <w:rsid w:val="00E90555"/>
    <w:rsid w:val="00E90607"/>
    <w:rsid w:val="00E906D9"/>
    <w:rsid w:val="00E90783"/>
    <w:rsid w:val="00E907BE"/>
    <w:rsid w:val="00E90BDB"/>
    <w:rsid w:val="00E91249"/>
    <w:rsid w:val="00E9176F"/>
    <w:rsid w:val="00E91942"/>
    <w:rsid w:val="00E91B48"/>
    <w:rsid w:val="00E91FBA"/>
    <w:rsid w:val="00E9210D"/>
    <w:rsid w:val="00E9222C"/>
    <w:rsid w:val="00E9229E"/>
    <w:rsid w:val="00E925E4"/>
    <w:rsid w:val="00E92F79"/>
    <w:rsid w:val="00E933EB"/>
    <w:rsid w:val="00E937CF"/>
    <w:rsid w:val="00E9427A"/>
    <w:rsid w:val="00E9439E"/>
    <w:rsid w:val="00E943DD"/>
    <w:rsid w:val="00E9522B"/>
    <w:rsid w:val="00E95277"/>
    <w:rsid w:val="00E9558B"/>
    <w:rsid w:val="00E95D1B"/>
    <w:rsid w:val="00E95E64"/>
    <w:rsid w:val="00E95EDC"/>
    <w:rsid w:val="00E9623E"/>
    <w:rsid w:val="00E9649D"/>
    <w:rsid w:val="00E9659E"/>
    <w:rsid w:val="00E969F0"/>
    <w:rsid w:val="00E96FA8"/>
    <w:rsid w:val="00E97205"/>
    <w:rsid w:val="00EA0534"/>
    <w:rsid w:val="00EA09FE"/>
    <w:rsid w:val="00EA0A9B"/>
    <w:rsid w:val="00EA0D79"/>
    <w:rsid w:val="00EA0E71"/>
    <w:rsid w:val="00EA175D"/>
    <w:rsid w:val="00EA2523"/>
    <w:rsid w:val="00EA2EFA"/>
    <w:rsid w:val="00EA32BF"/>
    <w:rsid w:val="00EA3852"/>
    <w:rsid w:val="00EA456E"/>
    <w:rsid w:val="00EA50D6"/>
    <w:rsid w:val="00EA548E"/>
    <w:rsid w:val="00EA5714"/>
    <w:rsid w:val="00EA7662"/>
    <w:rsid w:val="00EB016F"/>
    <w:rsid w:val="00EB0635"/>
    <w:rsid w:val="00EB06EB"/>
    <w:rsid w:val="00EB0798"/>
    <w:rsid w:val="00EB0B50"/>
    <w:rsid w:val="00EB13E0"/>
    <w:rsid w:val="00EB222C"/>
    <w:rsid w:val="00EB33F4"/>
    <w:rsid w:val="00EB3B9C"/>
    <w:rsid w:val="00EB3C8F"/>
    <w:rsid w:val="00EB4242"/>
    <w:rsid w:val="00EB4718"/>
    <w:rsid w:val="00EB4C04"/>
    <w:rsid w:val="00EB4CA7"/>
    <w:rsid w:val="00EB50C2"/>
    <w:rsid w:val="00EB5E24"/>
    <w:rsid w:val="00EB5E87"/>
    <w:rsid w:val="00EB62A4"/>
    <w:rsid w:val="00EB649D"/>
    <w:rsid w:val="00EB6C6B"/>
    <w:rsid w:val="00EB6E0D"/>
    <w:rsid w:val="00EB70A4"/>
    <w:rsid w:val="00EB7363"/>
    <w:rsid w:val="00EB7714"/>
    <w:rsid w:val="00EB7A49"/>
    <w:rsid w:val="00EB7B5B"/>
    <w:rsid w:val="00EB7C4B"/>
    <w:rsid w:val="00EC0BAD"/>
    <w:rsid w:val="00EC10FC"/>
    <w:rsid w:val="00EC1320"/>
    <w:rsid w:val="00EC1406"/>
    <w:rsid w:val="00EC217C"/>
    <w:rsid w:val="00EC225B"/>
    <w:rsid w:val="00EC2677"/>
    <w:rsid w:val="00EC2DAB"/>
    <w:rsid w:val="00EC36F2"/>
    <w:rsid w:val="00EC39EA"/>
    <w:rsid w:val="00EC3F43"/>
    <w:rsid w:val="00EC40B3"/>
    <w:rsid w:val="00EC419B"/>
    <w:rsid w:val="00EC464A"/>
    <w:rsid w:val="00EC476F"/>
    <w:rsid w:val="00EC486B"/>
    <w:rsid w:val="00EC48D7"/>
    <w:rsid w:val="00EC49B5"/>
    <w:rsid w:val="00EC4B7C"/>
    <w:rsid w:val="00EC4BB6"/>
    <w:rsid w:val="00EC4F33"/>
    <w:rsid w:val="00EC4F7E"/>
    <w:rsid w:val="00EC5634"/>
    <w:rsid w:val="00EC5A55"/>
    <w:rsid w:val="00EC63E2"/>
    <w:rsid w:val="00EC64EB"/>
    <w:rsid w:val="00EC685C"/>
    <w:rsid w:val="00EC7129"/>
    <w:rsid w:val="00EC78CF"/>
    <w:rsid w:val="00EC790A"/>
    <w:rsid w:val="00ED0270"/>
    <w:rsid w:val="00ED0721"/>
    <w:rsid w:val="00ED07A3"/>
    <w:rsid w:val="00ED0F1C"/>
    <w:rsid w:val="00ED11C5"/>
    <w:rsid w:val="00ED1924"/>
    <w:rsid w:val="00ED1DED"/>
    <w:rsid w:val="00ED1E35"/>
    <w:rsid w:val="00ED1EEE"/>
    <w:rsid w:val="00ED2C8F"/>
    <w:rsid w:val="00ED2D4A"/>
    <w:rsid w:val="00ED2DB6"/>
    <w:rsid w:val="00ED304F"/>
    <w:rsid w:val="00ED30DC"/>
    <w:rsid w:val="00ED3D2A"/>
    <w:rsid w:val="00ED400E"/>
    <w:rsid w:val="00ED45FE"/>
    <w:rsid w:val="00ED47C8"/>
    <w:rsid w:val="00ED4BF7"/>
    <w:rsid w:val="00ED4FB2"/>
    <w:rsid w:val="00ED507D"/>
    <w:rsid w:val="00ED5E6A"/>
    <w:rsid w:val="00ED6426"/>
    <w:rsid w:val="00ED6C8B"/>
    <w:rsid w:val="00ED6F17"/>
    <w:rsid w:val="00ED76F1"/>
    <w:rsid w:val="00ED7BC1"/>
    <w:rsid w:val="00EE148A"/>
    <w:rsid w:val="00EE1C1C"/>
    <w:rsid w:val="00EE2406"/>
    <w:rsid w:val="00EE2431"/>
    <w:rsid w:val="00EE24DB"/>
    <w:rsid w:val="00EE24FB"/>
    <w:rsid w:val="00EE2D3F"/>
    <w:rsid w:val="00EE2FC2"/>
    <w:rsid w:val="00EE3270"/>
    <w:rsid w:val="00EE3367"/>
    <w:rsid w:val="00EE3730"/>
    <w:rsid w:val="00EE3DA2"/>
    <w:rsid w:val="00EE43C0"/>
    <w:rsid w:val="00EE4452"/>
    <w:rsid w:val="00EE456D"/>
    <w:rsid w:val="00EE4C7E"/>
    <w:rsid w:val="00EE51DB"/>
    <w:rsid w:val="00EE556D"/>
    <w:rsid w:val="00EE5713"/>
    <w:rsid w:val="00EE5DBE"/>
    <w:rsid w:val="00EE6128"/>
    <w:rsid w:val="00EE6184"/>
    <w:rsid w:val="00EE721A"/>
    <w:rsid w:val="00EE7607"/>
    <w:rsid w:val="00EE7A2C"/>
    <w:rsid w:val="00EE7BEB"/>
    <w:rsid w:val="00EE7F49"/>
    <w:rsid w:val="00EF0209"/>
    <w:rsid w:val="00EF0E5D"/>
    <w:rsid w:val="00EF0F3B"/>
    <w:rsid w:val="00EF20F2"/>
    <w:rsid w:val="00EF2141"/>
    <w:rsid w:val="00EF2240"/>
    <w:rsid w:val="00EF29E9"/>
    <w:rsid w:val="00EF3069"/>
    <w:rsid w:val="00EF33CF"/>
    <w:rsid w:val="00EF3482"/>
    <w:rsid w:val="00EF3A6B"/>
    <w:rsid w:val="00EF3DE5"/>
    <w:rsid w:val="00EF440C"/>
    <w:rsid w:val="00EF4C4E"/>
    <w:rsid w:val="00EF5154"/>
    <w:rsid w:val="00EF51B0"/>
    <w:rsid w:val="00EF5693"/>
    <w:rsid w:val="00EF57A5"/>
    <w:rsid w:val="00EF5811"/>
    <w:rsid w:val="00EF5987"/>
    <w:rsid w:val="00EF6556"/>
    <w:rsid w:val="00EF6F14"/>
    <w:rsid w:val="00EF713B"/>
    <w:rsid w:val="00EF7A1A"/>
    <w:rsid w:val="00EF7D09"/>
    <w:rsid w:val="00EF7E24"/>
    <w:rsid w:val="00F002EF"/>
    <w:rsid w:val="00F012A8"/>
    <w:rsid w:val="00F01733"/>
    <w:rsid w:val="00F01AEA"/>
    <w:rsid w:val="00F020BB"/>
    <w:rsid w:val="00F022E8"/>
    <w:rsid w:val="00F0319D"/>
    <w:rsid w:val="00F03323"/>
    <w:rsid w:val="00F0385E"/>
    <w:rsid w:val="00F04521"/>
    <w:rsid w:val="00F04E2E"/>
    <w:rsid w:val="00F05C43"/>
    <w:rsid w:val="00F066C8"/>
    <w:rsid w:val="00F06C0B"/>
    <w:rsid w:val="00F07089"/>
    <w:rsid w:val="00F07129"/>
    <w:rsid w:val="00F0743E"/>
    <w:rsid w:val="00F077D2"/>
    <w:rsid w:val="00F07BE2"/>
    <w:rsid w:val="00F07E6E"/>
    <w:rsid w:val="00F07F28"/>
    <w:rsid w:val="00F102EC"/>
    <w:rsid w:val="00F10548"/>
    <w:rsid w:val="00F10557"/>
    <w:rsid w:val="00F105A7"/>
    <w:rsid w:val="00F106F3"/>
    <w:rsid w:val="00F11001"/>
    <w:rsid w:val="00F117A0"/>
    <w:rsid w:val="00F1232F"/>
    <w:rsid w:val="00F12994"/>
    <w:rsid w:val="00F12D86"/>
    <w:rsid w:val="00F12DF2"/>
    <w:rsid w:val="00F13058"/>
    <w:rsid w:val="00F13B05"/>
    <w:rsid w:val="00F13F47"/>
    <w:rsid w:val="00F142D6"/>
    <w:rsid w:val="00F1431E"/>
    <w:rsid w:val="00F14642"/>
    <w:rsid w:val="00F14A46"/>
    <w:rsid w:val="00F14BCA"/>
    <w:rsid w:val="00F154D4"/>
    <w:rsid w:val="00F15AF2"/>
    <w:rsid w:val="00F15C36"/>
    <w:rsid w:val="00F15F1E"/>
    <w:rsid w:val="00F1643F"/>
    <w:rsid w:val="00F16D54"/>
    <w:rsid w:val="00F16E49"/>
    <w:rsid w:val="00F177C6"/>
    <w:rsid w:val="00F178AB"/>
    <w:rsid w:val="00F17B16"/>
    <w:rsid w:val="00F17F5B"/>
    <w:rsid w:val="00F2034E"/>
    <w:rsid w:val="00F20EA1"/>
    <w:rsid w:val="00F20F16"/>
    <w:rsid w:val="00F21290"/>
    <w:rsid w:val="00F219DB"/>
    <w:rsid w:val="00F21B53"/>
    <w:rsid w:val="00F2214E"/>
    <w:rsid w:val="00F223F8"/>
    <w:rsid w:val="00F231A1"/>
    <w:rsid w:val="00F235C1"/>
    <w:rsid w:val="00F23DBA"/>
    <w:rsid w:val="00F23E5B"/>
    <w:rsid w:val="00F23F33"/>
    <w:rsid w:val="00F24738"/>
    <w:rsid w:val="00F24A7D"/>
    <w:rsid w:val="00F25334"/>
    <w:rsid w:val="00F25416"/>
    <w:rsid w:val="00F25869"/>
    <w:rsid w:val="00F25EC4"/>
    <w:rsid w:val="00F2606A"/>
    <w:rsid w:val="00F26092"/>
    <w:rsid w:val="00F26538"/>
    <w:rsid w:val="00F26808"/>
    <w:rsid w:val="00F268A4"/>
    <w:rsid w:val="00F26EE2"/>
    <w:rsid w:val="00F270CF"/>
    <w:rsid w:val="00F270D4"/>
    <w:rsid w:val="00F277DB"/>
    <w:rsid w:val="00F27C71"/>
    <w:rsid w:val="00F27D26"/>
    <w:rsid w:val="00F30251"/>
    <w:rsid w:val="00F30696"/>
    <w:rsid w:val="00F307CC"/>
    <w:rsid w:val="00F30BBA"/>
    <w:rsid w:val="00F31259"/>
    <w:rsid w:val="00F3131A"/>
    <w:rsid w:val="00F31584"/>
    <w:rsid w:val="00F31630"/>
    <w:rsid w:val="00F32532"/>
    <w:rsid w:val="00F3322B"/>
    <w:rsid w:val="00F34A95"/>
    <w:rsid w:val="00F34C99"/>
    <w:rsid w:val="00F34F03"/>
    <w:rsid w:val="00F353F7"/>
    <w:rsid w:val="00F35CF9"/>
    <w:rsid w:val="00F36007"/>
    <w:rsid w:val="00F36162"/>
    <w:rsid w:val="00F3623B"/>
    <w:rsid w:val="00F367AD"/>
    <w:rsid w:val="00F36816"/>
    <w:rsid w:val="00F36FED"/>
    <w:rsid w:val="00F37072"/>
    <w:rsid w:val="00F400A1"/>
    <w:rsid w:val="00F40CF9"/>
    <w:rsid w:val="00F40F5F"/>
    <w:rsid w:val="00F414E2"/>
    <w:rsid w:val="00F4221B"/>
    <w:rsid w:val="00F4233C"/>
    <w:rsid w:val="00F427D5"/>
    <w:rsid w:val="00F437AD"/>
    <w:rsid w:val="00F43932"/>
    <w:rsid w:val="00F439BB"/>
    <w:rsid w:val="00F43AB0"/>
    <w:rsid w:val="00F43FCA"/>
    <w:rsid w:val="00F440AC"/>
    <w:rsid w:val="00F44640"/>
    <w:rsid w:val="00F446AD"/>
    <w:rsid w:val="00F449D7"/>
    <w:rsid w:val="00F44C0B"/>
    <w:rsid w:val="00F455B8"/>
    <w:rsid w:val="00F4573E"/>
    <w:rsid w:val="00F45F5E"/>
    <w:rsid w:val="00F461AE"/>
    <w:rsid w:val="00F46B1C"/>
    <w:rsid w:val="00F46CA0"/>
    <w:rsid w:val="00F46D8C"/>
    <w:rsid w:val="00F47D6C"/>
    <w:rsid w:val="00F47F11"/>
    <w:rsid w:val="00F50FE9"/>
    <w:rsid w:val="00F51106"/>
    <w:rsid w:val="00F517B5"/>
    <w:rsid w:val="00F51A00"/>
    <w:rsid w:val="00F51B88"/>
    <w:rsid w:val="00F52A4C"/>
    <w:rsid w:val="00F534D3"/>
    <w:rsid w:val="00F534ED"/>
    <w:rsid w:val="00F53968"/>
    <w:rsid w:val="00F53A7B"/>
    <w:rsid w:val="00F53BAF"/>
    <w:rsid w:val="00F53C00"/>
    <w:rsid w:val="00F5421D"/>
    <w:rsid w:val="00F5435E"/>
    <w:rsid w:val="00F55A8B"/>
    <w:rsid w:val="00F562BE"/>
    <w:rsid w:val="00F567A9"/>
    <w:rsid w:val="00F570FA"/>
    <w:rsid w:val="00F60458"/>
    <w:rsid w:val="00F60DF3"/>
    <w:rsid w:val="00F61026"/>
    <w:rsid w:val="00F613D5"/>
    <w:rsid w:val="00F61567"/>
    <w:rsid w:val="00F61883"/>
    <w:rsid w:val="00F61C20"/>
    <w:rsid w:val="00F62057"/>
    <w:rsid w:val="00F623B3"/>
    <w:rsid w:val="00F62582"/>
    <w:rsid w:val="00F62A6D"/>
    <w:rsid w:val="00F63804"/>
    <w:rsid w:val="00F644EF"/>
    <w:rsid w:val="00F64DC6"/>
    <w:rsid w:val="00F64F14"/>
    <w:rsid w:val="00F65084"/>
    <w:rsid w:val="00F656B0"/>
    <w:rsid w:val="00F658CB"/>
    <w:rsid w:val="00F65BCB"/>
    <w:rsid w:val="00F66466"/>
    <w:rsid w:val="00F66981"/>
    <w:rsid w:val="00F66D31"/>
    <w:rsid w:val="00F67106"/>
    <w:rsid w:val="00F674E0"/>
    <w:rsid w:val="00F6751E"/>
    <w:rsid w:val="00F67567"/>
    <w:rsid w:val="00F67C01"/>
    <w:rsid w:val="00F67C2B"/>
    <w:rsid w:val="00F709F5"/>
    <w:rsid w:val="00F7114B"/>
    <w:rsid w:val="00F719FF"/>
    <w:rsid w:val="00F71E7A"/>
    <w:rsid w:val="00F721EF"/>
    <w:rsid w:val="00F72203"/>
    <w:rsid w:val="00F72265"/>
    <w:rsid w:val="00F72301"/>
    <w:rsid w:val="00F72599"/>
    <w:rsid w:val="00F72AC2"/>
    <w:rsid w:val="00F72BF8"/>
    <w:rsid w:val="00F72F86"/>
    <w:rsid w:val="00F73ABD"/>
    <w:rsid w:val="00F74168"/>
    <w:rsid w:val="00F742F1"/>
    <w:rsid w:val="00F747FA"/>
    <w:rsid w:val="00F74871"/>
    <w:rsid w:val="00F7564E"/>
    <w:rsid w:val="00F76037"/>
    <w:rsid w:val="00F773B7"/>
    <w:rsid w:val="00F77724"/>
    <w:rsid w:val="00F7772A"/>
    <w:rsid w:val="00F777F7"/>
    <w:rsid w:val="00F77839"/>
    <w:rsid w:val="00F77995"/>
    <w:rsid w:val="00F77AB9"/>
    <w:rsid w:val="00F8097D"/>
    <w:rsid w:val="00F80A15"/>
    <w:rsid w:val="00F811B9"/>
    <w:rsid w:val="00F814F1"/>
    <w:rsid w:val="00F815CC"/>
    <w:rsid w:val="00F818AC"/>
    <w:rsid w:val="00F81A57"/>
    <w:rsid w:val="00F8246A"/>
    <w:rsid w:val="00F8285E"/>
    <w:rsid w:val="00F82FA7"/>
    <w:rsid w:val="00F8336F"/>
    <w:rsid w:val="00F83D49"/>
    <w:rsid w:val="00F83ED9"/>
    <w:rsid w:val="00F83F2C"/>
    <w:rsid w:val="00F84796"/>
    <w:rsid w:val="00F84AFC"/>
    <w:rsid w:val="00F85096"/>
    <w:rsid w:val="00F856ED"/>
    <w:rsid w:val="00F8574D"/>
    <w:rsid w:val="00F85DEC"/>
    <w:rsid w:val="00F8615F"/>
    <w:rsid w:val="00F86637"/>
    <w:rsid w:val="00F86D4E"/>
    <w:rsid w:val="00F86E6F"/>
    <w:rsid w:val="00F87BEF"/>
    <w:rsid w:val="00F902F3"/>
    <w:rsid w:val="00F90C13"/>
    <w:rsid w:val="00F90C94"/>
    <w:rsid w:val="00F90DD7"/>
    <w:rsid w:val="00F91164"/>
    <w:rsid w:val="00F9150F"/>
    <w:rsid w:val="00F91524"/>
    <w:rsid w:val="00F926A3"/>
    <w:rsid w:val="00F9270B"/>
    <w:rsid w:val="00F9275A"/>
    <w:rsid w:val="00F92AB1"/>
    <w:rsid w:val="00F92B0F"/>
    <w:rsid w:val="00F92BF6"/>
    <w:rsid w:val="00F92C57"/>
    <w:rsid w:val="00F92F53"/>
    <w:rsid w:val="00F93043"/>
    <w:rsid w:val="00F93D6C"/>
    <w:rsid w:val="00F93FCF"/>
    <w:rsid w:val="00F94068"/>
    <w:rsid w:val="00F9489A"/>
    <w:rsid w:val="00F9536B"/>
    <w:rsid w:val="00F95E59"/>
    <w:rsid w:val="00F95FD2"/>
    <w:rsid w:val="00F963DB"/>
    <w:rsid w:val="00F96489"/>
    <w:rsid w:val="00F96517"/>
    <w:rsid w:val="00F9687C"/>
    <w:rsid w:val="00F96A63"/>
    <w:rsid w:val="00F96A71"/>
    <w:rsid w:val="00F96A7E"/>
    <w:rsid w:val="00F96ACA"/>
    <w:rsid w:val="00F96D24"/>
    <w:rsid w:val="00F97491"/>
    <w:rsid w:val="00F97BFD"/>
    <w:rsid w:val="00F97E96"/>
    <w:rsid w:val="00FA02C5"/>
    <w:rsid w:val="00FA1AEC"/>
    <w:rsid w:val="00FA26E3"/>
    <w:rsid w:val="00FA2BD3"/>
    <w:rsid w:val="00FA438C"/>
    <w:rsid w:val="00FA44FB"/>
    <w:rsid w:val="00FA4BF8"/>
    <w:rsid w:val="00FA4CC8"/>
    <w:rsid w:val="00FA5580"/>
    <w:rsid w:val="00FA5B65"/>
    <w:rsid w:val="00FA5BFC"/>
    <w:rsid w:val="00FA5F42"/>
    <w:rsid w:val="00FA620B"/>
    <w:rsid w:val="00FA6361"/>
    <w:rsid w:val="00FA69C3"/>
    <w:rsid w:val="00FA69E4"/>
    <w:rsid w:val="00FA6AAC"/>
    <w:rsid w:val="00FA6CBC"/>
    <w:rsid w:val="00FA6D48"/>
    <w:rsid w:val="00FA7C5D"/>
    <w:rsid w:val="00FA7EC0"/>
    <w:rsid w:val="00FB0966"/>
    <w:rsid w:val="00FB0BB2"/>
    <w:rsid w:val="00FB0CE0"/>
    <w:rsid w:val="00FB1311"/>
    <w:rsid w:val="00FB1582"/>
    <w:rsid w:val="00FB1938"/>
    <w:rsid w:val="00FB1AD3"/>
    <w:rsid w:val="00FB349A"/>
    <w:rsid w:val="00FB3790"/>
    <w:rsid w:val="00FB38BE"/>
    <w:rsid w:val="00FB3E1A"/>
    <w:rsid w:val="00FB448D"/>
    <w:rsid w:val="00FB4C36"/>
    <w:rsid w:val="00FB4E5B"/>
    <w:rsid w:val="00FB4EFB"/>
    <w:rsid w:val="00FB5808"/>
    <w:rsid w:val="00FB5AC0"/>
    <w:rsid w:val="00FB61E0"/>
    <w:rsid w:val="00FB6C88"/>
    <w:rsid w:val="00FB6DEC"/>
    <w:rsid w:val="00FB6DFE"/>
    <w:rsid w:val="00FB6F48"/>
    <w:rsid w:val="00FB73D1"/>
    <w:rsid w:val="00FC072E"/>
    <w:rsid w:val="00FC0921"/>
    <w:rsid w:val="00FC0BF8"/>
    <w:rsid w:val="00FC11A9"/>
    <w:rsid w:val="00FC1ADE"/>
    <w:rsid w:val="00FC1C6F"/>
    <w:rsid w:val="00FC1DE2"/>
    <w:rsid w:val="00FC2462"/>
    <w:rsid w:val="00FC25F7"/>
    <w:rsid w:val="00FC266E"/>
    <w:rsid w:val="00FC2921"/>
    <w:rsid w:val="00FC30E2"/>
    <w:rsid w:val="00FC32DE"/>
    <w:rsid w:val="00FC3A30"/>
    <w:rsid w:val="00FC3B2B"/>
    <w:rsid w:val="00FC3CC4"/>
    <w:rsid w:val="00FC3E24"/>
    <w:rsid w:val="00FC4E66"/>
    <w:rsid w:val="00FC5178"/>
    <w:rsid w:val="00FC5249"/>
    <w:rsid w:val="00FC5445"/>
    <w:rsid w:val="00FC551E"/>
    <w:rsid w:val="00FC5613"/>
    <w:rsid w:val="00FC5790"/>
    <w:rsid w:val="00FC5D6A"/>
    <w:rsid w:val="00FC6969"/>
    <w:rsid w:val="00FC6A12"/>
    <w:rsid w:val="00FC6D98"/>
    <w:rsid w:val="00FC6DD7"/>
    <w:rsid w:val="00FC759D"/>
    <w:rsid w:val="00FD039F"/>
    <w:rsid w:val="00FD0721"/>
    <w:rsid w:val="00FD1153"/>
    <w:rsid w:val="00FD13D5"/>
    <w:rsid w:val="00FD1995"/>
    <w:rsid w:val="00FD1FF6"/>
    <w:rsid w:val="00FD25E1"/>
    <w:rsid w:val="00FD2D75"/>
    <w:rsid w:val="00FD32CB"/>
    <w:rsid w:val="00FD37BD"/>
    <w:rsid w:val="00FD3C86"/>
    <w:rsid w:val="00FD3CAB"/>
    <w:rsid w:val="00FD40FF"/>
    <w:rsid w:val="00FD4A49"/>
    <w:rsid w:val="00FD4B8A"/>
    <w:rsid w:val="00FD56F2"/>
    <w:rsid w:val="00FD5E1C"/>
    <w:rsid w:val="00FD62EB"/>
    <w:rsid w:val="00FD6327"/>
    <w:rsid w:val="00FD63DF"/>
    <w:rsid w:val="00FD7339"/>
    <w:rsid w:val="00FD7945"/>
    <w:rsid w:val="00FD7B9D"/>
    <w:rsid w:val="00FE01AC"/>
    <w:rsid w:val="00FE02C1"/>
    <w:rsid w:val="00FE0B54"/>
    <w:rsid w:val="00FE0B5C"/>
    <w:rsid w:val="00FE1880"/>
    <w:rsid w:val="00FE1EB0"/>
    <w:rsid w:val="00FE2075"/>
    <w:rsid w:val="00FE23B0"/>
    <w:rsid w:val="00FE3545"/>
    <w:rsid w:val="00FE3E44"/>
    <w:rsid w:val="00FE3F8E"/>
    <w:rsid w:val="00FE47ED"/>
    <w:rsid w:val="00FE4AAD"/>
    <w:rsid w:val="00FE522B"/>
    <w:rsid w:val="00FE5330"/>
    <w:rsid w:val="00FE61DC"/>
    <w:rsid w:val="00FE622B"/>
    <w:rsid w:val="00FE6537"/>
    <w:rsid w:val="00FE67D0"/>
    <w:rsid w:val="00FE6D54"/>
    <w:rsid w:val="00FE782B"/>
    <w:rsid w:val="00FE7B01"/>
    <w:rsid w:val="00FE7D33"/>
    <w:rsid w:val="00FF00BF"/>
    <w:rsid w:val="00FF081E"/>
    <w:rsid w:val="00FF0D09"/>
    <w:rsid w:val="00FF1187"/>
    <w:rsid w:val="00FF13A1"/>
    <w:rsid w:val="00FF145C"/>
    <w:rsid w:val="00FF1BBA"/>
    <w:rsid w:val="00FF2151"/>
    <w:rsid w:val="00FF2213"/>
    <w:rsid w:val="00FF2318"/>
    <w:rsid w:val="00FF26EE"/>
    <w:rsid w:val="00FF28A1"/>
    <w:rsid w:val="00FF2EC1"/>
    <w:rsid w:val="00FF3102"/>
    <w:rsid w:val="00FF3329"/>
    <w:rsid w:val="00FF3A1B"/>
    <w:rsid w:val="00FF3BB6"/>
    <w:rsid w:val="00FF41D8"/>
    <w:rsid w:val="00FF47A3"/>
    <w:rsid w:val="00FF4D23"/>
    <w:rsid w:val="00FF602B"/>
    <w:rsid w:val="00FF62DA"/>
    <w:rsid w:val="00FF6353"/>
    <w:rsid w:val="00FF65F1"/>
    <w:rsid w:val="00FF704A"/>
    <w:rsid w:val="00FF7512"/>
    <w:rsid w:val="00FF7877"/>
    <w:rsid w:val="01944054"/>
    <w:rsid w:val="020B6A0C"/>
    <w:rsid w:val="02745A8B"/>
    <w:rsid w:val="02AB7A98"/>
    <w:rsid w:val="03870314"/>
    <w:rsid w:val="04BF7C30"/>
    <w:rsid w:val="054465CB"/>
    <w:rsid w:val="054917C1"/>
    <w:rsid w:val="06983766"/>
    <w:rsid w:val="06CA3834"/>
    <w:rsid w:val="07B92A66"/>
    <w:rsid w:val="07E21FBD"/>
    <w:rsid w:val="081C4D18"/>
    <w:rsid w:val="08587D86"/>
    <w:rsid w:val="08EE62CF"/>
    <w:rsid w:val="08FC70AE"/>
    <w:rsid w:val="091B56DF"/>
    <w:rsid w:val="09647D8F"/>
    <w:rsid w:val="09B94F9F"/>
    <w:rsid w:val="0BAE5C3A"/>
    <w:rsid w:val="0C290BC7"/>
    <w:rsid w:val="0CFF0BCD"/>
    <w:rsid w:val="0D3132C1"/>
    <w:rsid w:val="0DFC70CA"/>
    <w:rsid w:val="0E01495A"/>
    <w:rsid w:val="0E6E5F5A"/>
    <w:rsid w:val="0FB75ADD"/>
    <w:rsid w:val="109E1781"/>
    <w:rsid w:val="10AD3B84"/>
    <w:rsid w:val="115E1068"/>
    <w:rsid w:val="11D642EB"/>
    <w:rsid w:val="12BC20D7"/>
    <w:rsid w:val="13400543"/>
    <w:rsid w:val="1360276E"/>
    <w:rsid w:val="13F75227"/>
    <w:rsid w:val="1473228E"/>
    <w:rsid w:val="14BC2A18"/>
    <w:rsid w:val="15876EE0"/>
    <w:rsid w:val="16900D88"/>
    <w:rsid w:val="173F6692"/>
    <w:rsid w:val="17E82DB7"/>
    <w:rsid w:val="17F067CC"/>
    <w:rsid w:val="18422D4A"/>
    <w:rsid w:val="186E33F9"/>
    <w:rsid w:val="193948CF"/>
    <w:rsid w:val="194859F8"/>
    <w:rsid w:val="1A501A3C"/>
    <w:rsid w:val="1B273FFC"/>
    <w:rsid w:val="1C70550D"/>
    <w:rsid w:val="1D066B10"/>
    <w:rsid w:val="1DBF1926"/>
    <w:rsid w:val="1E3165A4"/>
    <w:rsid w:val="1E8020A0"/>
    <w:rsid w:val="1E965458"/>
    <w:rsid w:val="1ECE2E43"/>
    <w:rsid w:val="1F8A4FBC"/>
    <w:rsid w:val="20261070"/>
    <w:rsid w:val="205253AE"/>
    <w:rsid w:val="20EF4278"/>
    <w:rsid w:val="20F55B55"/>
    <w:rsid w:val="221C2118"/>
    <w:rsid w:val="242179DA"/>
    <w:rsid w:val="24595446"/>
    <w:rsid w:val="24877D1C"/>
    <w:rsid w:val="24F53F95"/>
    <w:rsid w:val="251404B6"/>
    <w:rsid w:val="251B13AA"/>
    <w:rsid w:val="25421C43"/>
    <w:rsid w:val="264D7633"/>
    <w:rsid w:val="29424212"/>
    <w:rsid w:val="2942558D"/>
    <w:rsid w:val="29B25E4D"/>
    <w:rsid w:val="29E6696D"/>
    <w:rsid w:val="2A331ACA"/>
    <w:rsid w:val="2A84703B"/>
    <w:rsid w:val="2AAA34AD"/>
    <w:rsid w:val="2B8054C5"/>
    <w:rsid w:val="2BFE1C28"/>
    <w:rsid w:val="2D140C99"/>
    <w:rsid w:val="2DAF2AB1"/>
    <w:rsid w:val="319B1E4E"/>
    <w:rsid w:val="323A147C"/>
    <w:rsid w:val="328C5B20"/>
    <w:rsid w:val="32EF11E8"/>
    <w:rsid w:val="338A23B0"/>
    <w:rsid w:val="33920919"/>
    <w:rsid w:val="34402C0E"/>
    <w:rsid w:val="349045BC"/>
    <w:rsid w:val="359044CC"/>
    <w:rsid w:val="35CA6372"/>
    <w:rsid w:val="35E552B5"/>
    <w:rsid w:val="370656AC"/>
    <w:rsid w:val="37577BC3"/>
    <w:rsid w:val="37BC5AD7"/>
    <w:rsid w:val="3A125E82"/>
    <w:rsid w:val="3AB64A60"/>
    <w:rsid w:val="3AC14B10"/>
    <w:rsid w:val="3B3D73D8"/>
    <w:rsid w:val="3B661EA1"/>
    <w:rsid w:val="3B860DC5"/>
    <w:rsid w:val="3B87256E"/>
    <w:rsid w:val="3BE430CE"/>
    <w:rsid w:val="3C9B3A70"/>
    <w:rsid w:val="3CE50ABD"/>
    <w:rsid w:val="3D197832"/>
    <w:rsid w:val="3E614BC1"/>
    <w:rsid w:val="3EA710F9"/>
    <w:rsid w:val="40D26C68"/>
    <w:rsid w:val="411C125B"/>
    <w:rsid w:val="418115AB"/>
    <w:rsid w:val="41F06527"/>
    <w:rsid w:val="422F3FFD"/>
    <w:rsid w:val="425F1A87"/>
    <w:rsid w:val="42AE247F"/>
    <w:rsid w:val="442055BD"/>
    <w:rsid w:val="44436FAB"/>
    <w:rsid w:val="44982476"/>
    <w:rsid w:val="451A3E3D"/>
    <w:rsid w:val="45E03485"/>
    <w:rsid w:val="467A0C75"/>
    <w:rsid w:val="46F829E6"/>
    <w:rsid w:val="47592924"/>
    <w:rsid w:val="47995DCD"/>
    <w:rsid w:val="48291DCE"/>
    <w:rsid w:val="4860600B"/>
    <w:rsid w:val="486C4AFB"/>
    <w:rsid w:val="48E40799"/>
    <w:rsid w:val="49D528D2"/>
    <w:rsid w:val="4A54394D"/>
    <w:rsid w:val="4A6F6A17"/>
    <w:rsid w:val="4AB3357B"/>
    <w:rsid w:val="4ABE317D"/>
    <w:rsid w:val="4B2500C7"/>
    <w:rsid w:val="4B35476F"/>
    <w:rsid w:val="4B4934F1"/>
    <w:rsid w:val="4B6E1DEB"/>
    <w:rsid w:val="4C9170DB"/>
    <w:rsid w:val="4C9272EF"/>
    <w:rsid w:val="4DE60D60"/>
    <w:rsid w:val="4DFA2A5E"/>
    <w:rsid w:val="4F411455"/>
    <w:rsid w:val="4F7379C3"/>
    <w:rsid w:val="4F9B0FBF"/>
    <w:rsid w:val="4FB01626"/>
    <w:rsid w:val="50F360CF"/>
    <w:rsid w:val="50FF0C25"/>
    <w:rsid w:val="511B574C"/>
    <w:rsid w:val="519756C5"/>
    <w:rsid w:val="51CD03B8"/>
    <w:rsid w:val="527E1EAF"/>
    <w:rsid w:val="528523B0"/>
    <w:rsid w:val="52CE725A"/>
    <w:rsid w:val="53E471EB"/>
    <w:rsid w:val="541C0E3A"/>
    <w:rsid w:val="54CB5DBD"/>
    <w:rsid w:val="56260894"/>
    <w:rsid w:val="568B36AA"/>
    <w:rsid w:val="569436B8"/>
    <w:rsid w:val="576840AA"/>
    <w:rsid w:val="578C0DF0"/>
    <w:rsid w:val="58DF2F7C"/>
    <w:rsid w:val="59F04A86"/>
    <w:rsid w:val="59FB5017"/>
    <w:rsid w:val="5ACD3D3E"/>
    <w:rsid w:val="5AE8674D"/>
    <w:rsid w:val="5D2D625A"/>
    <w:rsid w:val="5E0B040C"/>
    <w:rsid w:val="5FE01684"/>
    <w:rsid w:val="603E3616"/>
    <w:rsid w:val="607B503F"/>
    <w:rsid w:val="60AA3E6F"/>
    <w:rsid w:val="60DA110F"/>
    <w:rsid w:val="60ED3B56"/>
    <w:rsid w:val="61C03E43"/>
    <w:rsid w:val="61F9422A"/>
    <w:rsid w:val="62B937C3"/>
    <w:rsid w:val="634E6BE4"/>
    <w:rsid w:val="635665E4"/>
    <w:rsid w:val="63A0660A"/>
    <w:rsid w:val="63BE65AF"/>
    <w:rsid w:val="64803A16"/>
    <w:rsid w:val="648E423A"/>
    <w:rsid w:val="65554CF2"/>
    <w:rsid w:val="656752A4"/>
    <w:rsid w:val="65900886"/>
    <w:rsid w:val="66301079"/>
    <w:rsid w:val="663807A3"/>
    <w:rsid w:val="668337DE"/>
    <w:rsid w:val="668863BF"/>
    <w:rsid w:val="67523745"/>
    <w:rsid w:val="675704E5"/>
    <w:rsid w:val="67C853F2"/>
    <w:rsid w:val="67F276A1"/>
    <w:rsid w:val="68133540"/>
    <w:rsid w:val="68731CFD"/>
    <w:rsid w:val="6A570ABB"/>
    <w:rsid w:val="6A923CF1"/>
    <w:rsid w:val="6B16157B"/>
    <w:rsid w:val="6C1E3A57"/>
    <w:rsid w:val="6CB3205D"/>
    <w:rsid w:val="6CC938CF"/>
    <w:rsid w:val="6DD608CF"/>
    <w:rsid w:val="6EBB41FF"/>
    <w:rsid w:val="6FCA5F81"/>
    <w:rsid w:val="70B418E2"/>
    <w:rsid w:val="71656D2D"/>
    <w:rsid w:val="71916451"/>
    <w:rsid w:val="731715D5"/>
    <w:rsid w:val="73ED10C6"/>
    <w:rsid w:val="741B0EB4"/>
    <w:rsid w:val="7420471D"/>
    <w:rsid w:val="748F53FE"/>
    <w:rsid w:val="7599219A"/>
    <w:rsid w:val="76572261"/>
    <w:rsid w:val="769F382F"/>
    <w:rsid w:val="76DB0DCF"/>
    <w:rsid w:val="77701886"/>
    <w:rsid w:val="78271982"/>
    <w:rsid w:val="78BF6D37"/>
    <w:rsid w:val="79CD564B"/>
    <w:rsid w:val="7B2C7E4B"/>
    <w:rsid w:val="7BB57E40"/>
    <w:rsid w:val="7BBC7949"/>
    <w:rsid w:val="7BCE38DA"/>
    <w:rsid w:val="7E334C83"/>
    <w:rsid w:val="7E3F3E40"/>
    <w:rsid w:val="7E580181"/>
    <w:rsid w:val="7E6D4A02"/>
    <w:rsid w:val="7E6F6B24"/>
    <w:rsid w:val="7EA32DCE"/>
    <w:rsid w:val="7F8245FD"/>
    <w:rsid w:val="7FCF0252"/>
    <w:rsid w:val="7FF847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nhideWhenUsed="0" w:uiPriority="0" w:semiHidden="0" w:name="index 2"/>
    <w:lsdException w:qFormat="1" w:unhideWhenUsed="0" w:uiPriority="0" w:semiHidden="0" w:name="index 3"/>
    <w:lsdException w:qFormat="1" w:unhideWhenUsed="0" w:uiPriority="99"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2">
    <w:name w:val="heading 1"/>
    <w:basedOn w:val="3"/>
    <w:next w:val="1"/>
    <w:link w:val="152"/>
    <w:qFormat/>
    <w:uiPriority w:val="99"/>
    <w:pPr>
      <w:tabs>
        <w:tab w:val="left" w:pos="426"/>
      </w:tabs>
      <w:spacing w:before="340" w:after="330" w:line="300" w:lineRule="auto"/>
      <w:jc w:val="center"/>
      <w:outlineLvl w:val="0"/>
    </w:pPr>
    <w:rPr>
      <w:rFonts w:eastAsia="黑体"/>
      <w:kern w:val="44"/>
      <w:sz w:val="28"/>
      <w:szCs w:val="28"/>
    </w:rPr>
  </w:style>
  <w:style w:type="paragraph" w:styleId="4">
    <w:name w:val="heading 2"/>
    <w:basedOn w:val="3"/>
    <w:next w:val="5"/>
    <w:link w:val="153"/>
    <w:qFormat/>
    <w:uiPriority w:val="9"/>
    <w:pPr>
      <w:tabs>
        <w:tab w:val="left" w:pos="426"/>
      </w:tabs>
      <w:textAlignment w:val="baseline"/>
      <w:outlineLvl w:val="1"/>
    </w:pPr>
    <w:rPr>
      <w:szCs w:val="20"/>
    </w:rPr>
  </w:style>
  <w:style w:type="paragraph" w:styleId="3">
    <w:name w:val="heading 3"/>
    <w:basedOn w:val="1"/>
    <w:next w:val="1"/>
    <w:link w:val="151"/>
    <w:qFormat/>
    <w:uiPriority w:val="0"/>
    <w:pPr>
      <w:spacing w:before="260" w:after="260" w:line="240" w:lineRule="auto"/>
      <w:outlineLvl w:val="2"/>
    </w:pPr>
    <w:rPr>
      <w:sz w:val="24"/>
      <w:szCs w:val="32"/>
    </w:rPr>
  </w:style>
  <w:style w:type="paragraph" w:styleId="5">
    <w:name w:val="heading 4"/>
    <w:basedOn w:val="1"/>
    <w:next w:val="1"/>
    <w:link w:val="150"/>
    <w:qFormat/>
    <w:uiPriority w:val="0"/>
    <w:pPr>
      <w:keepNext/>
      <w:keepLines/>
      <w:spacing w:before="280" w:after="290" w:line="376" w:lineRule="auto"/>
      <w:outlineLvl w:val="3"/>
    </w:pPr>
    <w:rPr>
      <w:rFonts w:ascii="Arial" w:hAnsi="Arial" w:eastAsia="黑体" w:cs="Times New Roman"/>
      <w:b/>
      <w:bCs/>
      <w:kern w:val="2"/>
      <w:sz w:val="28"/>
      <w:szCs w:val="28"/>
    </w:rPr>
  </w:style>
  <w:style w:type="paragraph" w:styleId="6">
    <w:name w:val="heading 5"/>
    <w:basedOn w:val="1"/>
    <w:next w:val="7"/>
    <w:link w:val="154"/>
    <w:qFormat/>
    <w:uiPriority w:val="0"/>
    <w:pPr>
      <w:keepNext/>
      <w:keepLines/>
      <w:spacing w:before="280" w:after="290" w:line="376" w:lineRule="auto"/>
      <w:jc w:val="center"/>
      <w:outlineLvl w:val="4"/>
    </w:pPr>
    <w:rPr>
      <w:rFonts w:ascii="Times New Roman" w:hAnsi="Times New Roman" w:cs="Times New Roman"/>
      <w:b/>
      <w:kern w:val="2"/>
      <w:sz w:val="24"/>
      <w:szCs w:val="20"/>
    </w:rPr>
  </w:style>
  <w:style w:type="paragraph" w:styleId="9">
    <w:name w:val="heading 6"/>
    <w:basedOn w:val="1"/>
    <w:next w:val="7"/>
    <w:link w:val="156"/>
    <w:qFormat/>
    <w:uiPriority w:val="0"/>
    <w:pPr>
      <w:keepNext/>
      <w:keepLines/>
      <w:spacing w:before="240" w:after="64" w:line="320" w:lineRule="auto"/>
      <w:outlineLvl w:val="5"/>
    </w:pPr>
    <w:rPr>
      <w:rFonts w:ascii="Arial" w:hAnsi="Arial" w:eastAsia="黑体" w:cs="Times New Roman"/>
      <w:b/>
      <w:kern w:val="2"/>
      <w:sz w:val="24"/>
      <w:szCs w:val="20"/>
    </w:rPr>
  </w:style>
  <w:style w:type="paragraph" w:styleId="10">
    <w:name w:val="heading 7"/>
    <w:basedOn w:val="1"/>
    <w:next w:val="7"/>
    <w:link w:val="157"/>
    <w:qFormat/>
    <w:uiPriority w:val="0"/>
    <w:pPr>
      <w:keepNext/>
      <w:keepLines/>
      <w:spacing w:before="240" w:after="64" w:line="320" w:lineRule="auto"/>
      <w:outlineLvl w:val="6"/>
    </w:pPr>
    <w:rPr>
      <w:rFonts w:ascii="Times New Roman" w:hAnsi="Times New Roman" w:cs="Times New Roman"/>
      <w:b/>
      <w:kern w:val="2"/>
      <w:sz w:val="24"/>
      <w:szCs w:val="20"/>
    </w:rPr>
  </w:style>
  <w:style w:type="paragraph" w:styleId="11">
    <w:name w:val="heading 8"/>
    <w:basedOn w:val="1"/>
    <w:next w:val="7"/>
    <w:link w:val="158"/>
    <w:qFormat/>
    <w:uiPriority w:val="0"/>
    <w:pPr>
      <w:keepNext/>
      <w:keepLines/>
      <w:spacing w:before="240" w:after="64" w:line="320" w:lineRule="auto"/>
      <w:outlineLvl w:val="7"/>
    </w:pPr>
    <w:rPr>
      <w:rFonts w:ascii="Arial" w:hAnsi="Arial" w:eastAsia="黑体" w:cs="Times New Roman"/>
      <w:kern w:val="2"/>
      <w:sz w:val="24"/>
      <w:szCs w:val="20"/>
    </w:rPr>
  </w:style>
  <w:style w:type="paragraph" w:styleId="12">
    <w:name w:val="heading 9"/>
    <w:basedOn w:val="1"/>
    <w:next w:val="7"/>
    <w:link w:val="159"/>
    <w:qFormat/>
    <w:uiPriority w:val="0"/>
    <w:pPr>
      <w:keepNext/>
      <w:keepLines/>
      <w:spacing w:before="240" w:after="64" w:line="320" w:lineRule="auto"/>
      <w:outlineLvl w:val="8"/>
    </w:pPr>
    <w:rPr>
      <w:rFonts w:ascii="Arial" w:hAnsi="Arial" w:eastAsia="黑体" w:cs="Times New Roman"/>
      <w:kern w:val="2"/>
      <w:szCs w:val="20"/>
    </w:rPr>
  </w:style>
  <w:style w:type="character" w:default="1" w:styleId="130">
    <w:name w:val="Default Paragraph Font"/>
    <w:semiHidden/>
    <w:unhideWhenUsed/>
    <w:qFormat/>
    <w:uiPriority w:val="1"/>
  </w:style>
  <w:style w:type="table" w:default="1" w:styleId="8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155"/>
    <w:qFormat/>
    <w:uiPriority w:val="0"/>
    <w:pPr>
      <w:ind w:firstLine="420"/>
    </w:pPr>
    <w:rPr>
      <w:rFonts w:ascii="Times New Roman" w:hAnsi="Times New Roman" w:cs="Times New Roman"/>
      <w:kern w:val="2"/>
      <w:szCs w:val="20"/>
    </w:rPr>
  </w:style>
  <w:style w:type="paragraph" w:styleId="8">
    <w:name w:val="Body Text"/>
    <w:basedOn w:val="1"/>
    <w:next w:val="1"/>
    <w:link w:val="167"/>
    <w:qFormat/>
    <w:uiPriority w:val="0"/>
    <w:rPr>
      <w:rFonts w:cs="Times New Roman"/>
      <w:b/>
      <w:bCs/>
      <w:sz w:val="24"/>
    </w:rPr>
  </w:style>
  <w:style w:type="paragraph" w:styleId="13">
    <w:name w:val="List 3"/>
    <w:basedOn w:val="1"/>
    <w:qFormat/>
    <w:uiPriority w:val="0"/>
    <w:pPr>
      <w:widowControl w:val="0"/>
      <w:shd w:val="clear" w:color="auto" w:fill="auto"/>
      <w:tabs>
        <w:tab w:val="clear" w:pos="426"/>
      </w:tabs>
      <w:adjustRightInd/>
      <w:snapToGrid/>
      <w:spacing w:line="240" w:lineRule="auto"/>
      <w:ind w:left="100" w:leftChars="400" w:hanging="200" w:hangingChars="200"/>
    </w:pPr>
    <w:rPr>
      <w:rFonts w:ascii="Times New Roman" w:hAnsi="Times New Roman" w:cs="Times New Roman"/>
      <w:kern w:val="2"/>
    </w:rPr>
  </w:style>
  <w:style w:type="paragraph" w:styleId="14">
    <w:name w:val="toc 7"/>
    <w:basedOn w:val="1"/>
    <w:next w:val="1"/>
    <w:qFormat/>
    <w:uiPriority w:val="0"/>
    <w:pPr>
      <w:ind w:left="1260"/>
      <w:jc w:val="left"/>
    </w:pPr>
    <w:rPr>
      <w:szCs w:val="21"/>
    </w:rPr>
  </w:style>
  <w:style w:type="paragraph" w:styleId="15">
    <w:name w:val="List Number 2"/>
    <w:basedOn w:val="1"/>
    <w:qFormat/>
    <w:uiPriority w:val="0"/>
    <w:pPr>
      <w:tabs>
        <w:tab w:val="left" w:pos="820"/>
      </w:tabs>
      <w:spacing w:afterLines="50"/>
      <w:ind w:left="988" w:hanging="420"/>
    </w:pPr>
    <w:rPr>
      <w:sz w:val="24"/>
      <w:szCs w:val="20"/>
    </w:rPr>
  </w:style>
  <w:style w:type="paragraph" w:styleId="16">
    <w:name w:val="Note Heading"/>
    <w:basedOn w:val="1"/>
    <w:next w:val="1"/>
    <w:link w:val="160"/>
    <w:qFormat/>
    <w:uiPriority w:val="0"/>
    <w:pPr>
      <w:widowControl w:val="0"/>
      <w:shd w:val="clear" w:color="auto" w:fill="auto"/>
      <w:tabs>
        <w:tab w:val="clear" w:pos="426"/>
      </w:tabs>
      <w:adjustRightInd/>
      <w:snapToGrid/>
      <w:spacing w:line="240" w:lineRule="auto"/>
      <w:jc w:val="center"/>
    </w:pPr>
    <w:rPr>
      <w:rFonts w:ascii="Times New Roman" w:hAnsi="Times New Roman" w:cs="Times New Roman"/>
      <w:kern w:val="2"/>
    </w:rPr>
  </w:style>
  <w:style w:type="paragraph" w:styleId="17">
    <w:name w:val="List Bullet 4"/>
    <w:basedOn w:val="1"/>
    <w:qFormat/>
    <w:uiPriority w:val="0"/>
    <w:pPr>
      <w:widowControl w:val="0"/>
      <w:shd w:val="clear" w:color="auto" w:fill="auto"/>
      <w:tabs>
        <w:tab w:val="left" w:pos="1620"/>
        <w:tab w:val="clear" w:pos="426"/>
      </w:tabs>
      <w:adjustRightInd/>
      <w:snapToGrid/>
      <w:spacing w:line="240" w:lineRule="auto"/>
      <w:ind w:left="1620" w:hanging="360"/>
    </w:pPr>
    <w:rPr>
      <w:rFonts w:ascii="Times New Roman" w:hAnsi="Times New Roman" w:cs="Times New Roman"/>
      <w:kern w:val="2"/>
    </w:rPr>
  </w:style>
  <w:style w:type="paragraph" w:styleId="18">
    <w:name w:val="index 8"/>
    <w:basedOn w:val="1"/>
    <w:next w:val="1"/>
    <w:qFormat/>
    <w:uiPriority w:val="0"/>
    <w:pPr>
      <w:widowControl w:val="0"/>
      <w:shd w:val="clear" w:color="auto" w:fill="auto"/>
      <w:tabs>
        <w:tab w:val="clear" w:pos="426"/>
      </w:tabs>
      <w:adjustRightInd/>
      <w:snapToGrid/>
      <w:spacing w:line="240" w:lineRule="auto"/>
      <w:ind w:left="1680" w:hanging="210"/>
      <w:jc w:val="left"/>
    </w:pPr>
    <w:rPr>
      <w:rFonts w:ascii="Times New Roman" w:hAnsi="Times New Roman" w:cs="Times New Roman"/>
      <w:kern w:val="2"/>
      <w:sz w:val="20"/>
      <w:szCs w:val="20"/>
    </w:rPr>
  </w:style>
  <w:style w:type="paragraph" w:styleId="19">
    <w:name w:val="E-mail Signature"/>
    <w:basedOn w:val="1"/>
    <w:link w:val="161"/>
    <w:qFormat/>
    <w:uiPriority w:val="0"/>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styleId="20">
    <w:name w:val="List Number"/>
    <w:basedOn w:val="1"/>
    <w:qFormat/>
    <w:uiPriority w:val="0"/>
    <w:pPr>
      <w:widowControl w:val="0"/>
      <w:shd w:val="clear" w:color="auto" w:fill="auto"/>
      <w:tabs>
        <w:tab w:val="left" w:pos="360"/>
        <w:tab w:val="clear" w:pos="426"/>
      </w:tabs>
      <w:adjustRightInd/>
      <w:snapToGrid/>
      <w:spacing w:line="240" w:lineRule="auto"/>
      <w:ind w:left="360" w:hanging="360"/>
    </w:pPr>
    <w:rPr>
      <w:rFonts w:ascii="Times New Roman" w:hAnsi="Times New Roman" w:cs="Times New Roman"/>
      <w:kern w:val="2"/>
    </w:rPr>
  </w:style>
  <w:style w:type="paragraph" w:styleId="21">
    <w:name w:val="caption"/>
    <w:basedOn w:val="1"/>
    <w:next w:val="1"/>
    <w:qFormat/>
    <w:uiPriority w:val="0"/>
    <w:rPr>
      <w:rFonts w:ascii="Arial" w:hAnsi="Arial" w:eastAsia="黑体" w:cs="Arial"/>
      <w:sz w:val="20"/>
      <w:szCs w:val="20"/>
    </w:rPr>
  </w:style>
  <w:style w:type="paragraph" w:styleId="22">
    <w:name w:val="index 5"/>
    <w:basedOn w:val="1"/>
    <w:next w:val="1"/>
    <w:qFormat/>
    <w:uiPriority w:val="0"/>
    <w:pPr>
      <w:widowControl w:val="0"/>
      <w:shd w:val="clear" w:color="auto" w:fill="auto"/>
      <w:tabs>
        <w:tab w:val="clear" w:pos="426"/>
      </w:tabs>
      <w:adjustRightInd/>
      <w:snapToGrid/>
      <w:spacing w:line="240" w:lineRule="auto"/>
      <w:ind w:left="1050" w:hanging="210"/>
      <w:jc w:val="left"/>
    </w:pPr>
    <w:rPr>
      <w:rFonts w:ascii="Times New Roman" w:hAnsi="Times New Roman" w:cs="Times New Roman"/>
      <w:kern w:val="2"/>
      <w:sz w:val="20"/>
      <w:szCs w:val="20"/>
    </w:rPr>
  </w:style>
  <w:style w:type="paragraph" w:styleId="23">
    <w:name w:val="List Bullet"/>
    <w:basedOn w:val="1"/>
    <w:qFormat/>
    <w:uiPriority w:val="0"/>
    <w:pPr>
      <w:tabs>
        <w:tab w:val="left" w:pos="360"/>
      </w:tabs>
      <w:ind w:left="360" w:hanging="360" w:hangingChars="200"/>
    </w:pPr>
    <w:rPr>
      <w:szCs w:val="20"/>
    </w:rPr>
  </w:style>
  <w:style w:type="paragraph" w:styleId="24">
    <w:name w:val="envelope address"/>
    <w:basedOn w:val="1"/>
    <w:qFormat/>
    <w:uiPriority w:val="0"/>
    <w:pPr>
      <w:framePr w:w="7920" w:h="1980" w:hRule="exact" w:hSpace="180" w:wrap="around" w:vAnchor="margin" w:hAnchor="page" w:xAlign="center" w:yAlign="bottom"/>
      <w:widowControl w:val="0"/>
      <w:shd w:val="clear" w:color="auto" w:fill="auto"/>
      <w:tabs>
        <w:tab w:val="clear" w:pos="426"/>
      </w:tabs>
      <w:adjustRightInd/>
      <w:spacing w:line="240" w:lineRule="auto"/>
      <w:ind w:left="100" w:leftChars="1400"/>
    </w:pPr>
    <w:rPr>
      <w:rFonts w:ascii="Arial" w:hAnsi="Arial" w:cs="Arial"/>
      <w:kern w:val="2"/>
      <w:sz w:val="24"/>
    </w:rPr>
  </w:style>
  <w:style w:type="paragraph" w:styleId="25">
    <w:name w:val="Document Map"/>
    <w:basedOn w:val="1"/>
    <w:link w:val="162"/>
    <w:qFormat/>
    <w:uiPriority w:val="0"/>
    <w:pPr>
      <w:shd w:val="clear" w:color="auto" w:fill="000080"/>
    </w:pPr>
    <w:rPr>
      <w:rFonts w:ascii="Times New Roman" w:hAnsi="Times New Roman" w:cs="Times New Roman"/>
      <w:kern w:val="2"/>
    </w:rPr>
  </w:style>
  <w:style w:type="paragraph" w:styleId="26">
    <w:name w:val="toa heading"/>
    <w:basedOn w:val="1"/>
    <w:next w:val="1"/>
    <w:qFormat/>
    <w:uiPriority w:val="0"/>
    <w:pPr>
      <w:spacing w:before="120"/>
    </w:pPr>
    <w:rPr>
      <w:rFonts w:ascii="Arial" w:hAnsi="Arial"/>
      <w:sz w:val="24"/>
      <w:szCs w:val="20"/>
    </w:rPr>
  </w:style>
  <w:style w:type="paragraph" w:styleId="27">
    <w:name w:val="annotation text"/>
    <w:basedOn w:val="1"/>
    <w:link w:val="163"/>
    <w:qFormat/>
    <w:uiPriority w:val="0"/>
    <w:pPr>
      <w:autoSpaceDE w:val="0"/>
      <w:autoSpaceDN w:val="0"/>
      <w:jc w:val="left"/>
      <w:textAlignment w:val="baseline"/>
    </w:pPr>
    <w:rPr>
      <w:rFonts w:hAnsi="Times New Roman" w:cs="Times New Roman"/>
      <w:sz w:val="34"/>
      <w:szCs w:val="20"/>
    </w:rPr>
  </w:style>
  <w:style w:type="paragraph" w:styleId="28">
    <w:name w:val="index 6"/>
    <w:basedOn w:val="1"/>
    <w:next w:val="1"/>
    <w:qFormat/>
    <w:uiPriority w:val="0"/>
    <w:pPr>
      <w:widowControl w:val="0"/>
      <w:shd w:val="clear" w:color="auto" w:fill="auto"/>
      <w:tabs>
        <w:tab w:val="clear" w:pos="426"/>
      </w:tabs>
      <w:adjustRightInd/>
      <w:snapToGrid/>
      <w:spacing w:line="240" w:lineRule="auto"/>
      <w:ind w:left="1260" w:hanging="210"/>
      <w:jc w:val="left"/>
    </w:pPr>
    <w:rPr>
      <w:rFonts w:ascii="Times New Roman" w:hAnsi="Times New Roman" w:cs="Times New Roman"/>
      <w:kern w:val="2"/>
      <w:sz w:val="20"/>
      <w:szCs w:val="20"/>
    </w:rPr>
  </w:style>
  <w:style w:type="paragraph" w:styleId="29">
    <w:name w:val="Salutation"/>
    <w:basedOn w:val="1"/>
    <w:next w:val="1"/>
    <w:link w:val="164"/>
    <w:qFormat/>
    <w:uiPriority w:val="0"/>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styleId="30">
    <w:name w:val="Body Text 3"/>
    <w:basedOn w:val="1"/>
    <w:link w:val="165"/>
    <w:qFormat/>
    <w:uiPriority w:val="0"/>
    <w:pPr>
      <w:spacing w:after="120"/>
    </w:pPr>
    <w:rPr>
      <w:rFonts w:ascii="Times New Roman" w:hAnsi="Times New Roman" w:cs="Times New Roman"/>
      <w:kern w:val="2"/>
      <w:sz w:val="16"/>
      <w:szCs w:val="16"/>
    </w:rPr>
  </w:style>
  <w:style w:type="paragraph" w:styleId="31">
    <w:name w:val="Closing"/>
    <w:basedOn w:val="1"/>
    <w:link w:val="166"/>
    <w:qFormat/>
    <w:uiPriority w:val="0"/>
    <w:pPr>
      <w:widowControl w:val="0"/>
      <w:shd w:val="clear" w:color="auto" w:fill="auto"/>
      <w:tabs>
        <w:tab w:val="clear" w:pos="426"/>
      </w:tabs>
      <w:adjustRightInd/>
      <w:snapToGrid/>
      <w:spacing w:line="240" w:lineRule="auto"/>
      <w:ind w:left="100" w:leftChars="2100"/>
    </w:pPr>
    <w:rPr>
      <w:rFonts w:ascii="Times New Roman" w:hAnsi="Times New Roman" w:cs="Times New Roman"/>
      <w:kern w:val="2"/>
    </w:rPr>
  </w:style>
  <w:style w:type="paragraph" w:styleId="32">
    <w:name w:val="List Bullet 3"/>
    <w:basedOn w:val="1"/>
    <w:qFormat/>
    <w:uiPriority w:val="0"/>
    <w:pPr>
      <w:widowControl w:val="0"/>
      <w:shd w:val="clear" w:color="auto" w:fill="auto"/>
      <w:tabs>
        <w:tab w:val="left" w:pos="1200"/>
        <w:tab w:val="clear" w:pos="426"/>
      </w:tabs>
      <w:adjustRightInd/>
      <w:snapToGrid/>
      <w:spacing w:line="240" w:lineRule="auto"/>
      <w:ind w:left="1200" w:hanging="360"/>
    </w:pPr>
    <w:rPr>
      <w:rFonts w:ascii="Times New Roman" w:hAnsi="Times New Roman" w:cs="Times New Roman"/>
      <w:kern w:val="2"/>
    </w:rPr>
  </w:style>
  <w:style w:type="paragraph" w:styleId="33">
    <w:name w:val="Body Text Indent"/>
    <w:basedOn w:val="1"/>
    <w:next w:val="34"/>
    <w:link w:val="148"/>
    <w:qFormat/>
    <w:uiPriority w:val="0"/>
    <w:pPr>
      <w:ind w:firstLine="420" w:firstLineChars="200"/>
    </w:pPr>
    <w:rPr>
      <w:rFonts w:ascii="Times New Roman" w:hAnsi="Times New Roman" w:cs="Times New Roman"/>
      <w:kern w:val="2"/>
    </w:rPr>
  </w:style>
  <w:style w:type="paragraph" w:styleId="34">
    <w:name w:val="envelope return"/>
    <w:basedOn w:val="1"/>
    <w:qFormat/>
    <w:uiPriority w:val="0"/>
    <w:pPr>
      <w:widowControl w:val="0"/>
      <w:shd w:val="clear" w:color="auto" w:fill="auto"/>
      <w:tabs>
        <w:tab w:val="clear" w:pos="426"/>
      </w:tabs>
      <w:adjustRightInd/>
      <w:spacing w:line="240" w:lineRule="auto"/>
    </w:pPr>
    <w:rPr>
      <w:rFonts w:ascii="Arial" w:hAnsi="Arial" w:cs="Arial"/>
      <w:kern w:val="2"/>
    </w:rPr>
  </w:style>
  <w:style w:type="paragraph" w:styleId="35">
    <w:name w:val="List Number 3"/>
    <w:basedOn w:val="1"/>
    <w:qFormat/>
    <w:uiPriority w:val="0"/>
    <w:pPr>
      <w:widowControl w:val="0"/>
      <w:shd w:val="clear" w:color="auto" w:fill="auto"/>
      <w:tabs>
        <w:tab w:val="left" w:pos="1200"/>
        <w:tab w:val="clear" w:pos="426"/>
      </w:tabs>
      <w:adjustRightInd/>
      <w:snapToGrid/>
      <w:spacing w:line="240" w:lineRule="auto"/>
      <w:ind w:left="1200" w:hanging="360"/>
    </w:pPr>
    <w:rPr>
      <w:rFonts w:ascii="Times New Roman" w:hAnsi="Times New Roman" w:cs="Times New Roman"/>
      <w:kern w:val="2"/>
    </w:rPr>
  </w:style>
  <w:style w:type="paragraph" w:styleId="36">
    <w:name w:val="List 2"/>
    <w:basedOn w:val="1"/>
    <w:qFormat/>
    <w:uiPriority w:val="0"/>
    <w:pPr>
      <w:widowControl w:val="0"/>
      <w:shd w:val="clear" w:color="auto" w:fill="auto"/>
      <w:tabs>
        <w:tab w:val="clear" w:pos="426"/>
      </w:tabs>
      <w:adjustRightInd/>
      <w:snapToGrid/>
      <w:spacing w:line="240" w:lineRule="auto"/>
      <w:ind w:left="100" w:leftChars="200" w:hanging="200" w:hangingChars="200"/>
    </w:pPr>
    <w:rPr>
      <w:rFonts w:ascii="Times New Roman" w:hAnsi="Times New Roman" w:cs="Times New Roman"/>
      <w:kern w:val="2"/>
    </w:rPr>
  </w:style>
  <w:style w:type="paragraph" w:styleId="37">
    <w:name w:val="List Continue"/>
    <w:basedOn w:val="1"/>
    <w:qFormat/>
    <w:uiPriority w:val="0"/>
    <w:pPr>
      <w:widowControl w:val="0"/>
      <w:shd w:val="clear" w:color="auto" w:fill="auto"/>
      <w:tabs>
        <w:tab w:val="clear" w:pos="426"/>
      </w:tabs>
      <w:adjustRightInd/>
      <w:snapToGrid/>
      <w:spacing w:after="120" w:line="240" w:lineRule="auto"/>
      <w:ind w:left="420" w:leftChars="200"/>
    </w:pPr>
    <w:rPr>
      <w:rFonts w:ascii="Times New Roman" w:hAnsi="Times New Roman" w:cs="Times New Roman"/>
      <w:kern w:val="2"/>
    </w:rPr>
  </w:style>
  <w:style w:type="paragraph" w:styleId="38">
    <w:name w:val="Block Text"/>
    <w:basedOn w:val="1"/>
    <w:qFormat/>
    <w:uiPriority w:val="0"/>
    <w:pPr>
      <w:widowControl w:val="0"/>
      <w:shd w:val="clear" w:color="auto" w:fill="auto"/>
      <w:tabs>
        <w:tab w:val="clear" w:pos="426"/>
      </w:tabs>
      <w:adjustRightInd/>
      <w:snapToGrid/>
      <w:spacing w:after="120" w:line="240" w:lineRule="auto"/>
      <w:ind w:left="1440" w:leftChars="700" w:right="1440" w:rightChars="700"/>
    </w:pPr>
    <w:rPr>
      <w:rFonts w:ascii="Times New Roman" w:hAnsi="Times New Roman" w:cs="Times New Roman"/>
      <w:kern w:val="2"/>
    </w:rPr>
  </w:style>
  <w:style w:type="paragraph" w:styleId="39">
    <w:name w:val="List Bullet 2"/>
    <w:basedOn w:val="1"/>
    <w:qFormat/>
    <w:uiPriority w:val="0"/>
    <w:pPr>
      <w:widowControl w:val="0"/>
      <w:shd w:val="clear" w:color="auto" w:fill="auto"/>
      <w:tabs>
        <w:tab w:val="left" w:pos="780"/>
        <w:tab w:val="clear" w:pos="426"/>
      </w:tabs>
      <w:adjustRightInd/>
      <w:snapToGrid/>
      <w:spacing w:line="240" w:lineRule="auto"/>
      <w:ind w:left="780" w:hanging="360"/>
    </w:pPr>
    <w:rPr>
      <w:rFonts w:ascii="Times New Roman" w:hAnsi="Times New Roman" w:cs="Times New Roman"/>
      <w:kern w:val="2"/>
    </w:rPr>
  </w:style>
  <w:style w:type="paragraph" w:styleId="40">
    <w:name w:val="HTML Address"/>
    <w:basedOn w:val="1"/>
    <w:link w:val="168"/>
    <w:qFormat/>
    <w:uiPriority w:val="0"/>
    <w:pPr>
      <w:widowControl w:val="0"/>
      <w:shd w:val="clear" w:color="auto" w:fill="auto"/>
      <w:tabs>
        <w:tab w:val="clear" w:pos="426"/>
      </w:tabs>
      <w:adjustRightInd/>
      <w:snapToGrid/>
      <w:spacing w:line="240" w:lineRule="auto"/>
    </w:pPr>
    <w:rPr>
      <w:rFonts w:ascii="Times New Roman" w:hAnsi="Times New Roman" w:cs="Times New Roman"/>
      <w:i/>
      <w:iCs/>
      <w:kern w:val="2"/>
    </w:rPr>
  </w:style>
  <w:style w:type="paragraph" w:styleId="41">
    <w:name w:val="index 4"/>
    <w:basedOn w:val="1"/>
    <w:next w:val="1"/>
    <w:qFormat/>
    <w:uiPriority w:val="99"/>
    <w:pPr>
      <w:widowControl w:val="0"/>
      <w:shd w:val="clear" w:color="auto" w:fill="auto"/>
      <w:tabs>
        <w:tab w:val="clear" w:pos="426"/>
      </w:tabs>
      <w:adjustRightInd/>
      <w:snapToGrid/>
      <w:spacing w:line="240" w:lineRule="auto"/>
      <w:ind w:left="840" w:hanging="210"/>
      <w:jc w:val="left"/>
    </w:pPr>
    <w:rPr>
      <w:rFonts w:ascii="Times New Roman" w:hAnsi="Times New Roman" w:cs="Times New Roman"/>
      <w:kern w:val="2"/>
      <w:sz w:val="20"/>
      <w:szCs w:val="20"/>
    </w:rPr>
  </w:style>
  <w:style w:type="paragraph" w:styleId="42">
    <w:name w:val="toc 5"/>
    <w:basedOn w:val="1"/>
    <w:next w:val="1"/>
    <w:qFormat/>
    <w:uiPriority w:val="0"/>
    <w:pPr>
      <w:ind w:left="840"/>
      <w:jc w:val="left"/>
    </w:pPr>
    <w:rPr>
      <w:szCs w:val="21"/>
    </w:rPr>
  </w:style>
  <w:style w:type="paragraph" w:styleId="43">
    <w:name w:val="toc 3"/>
    <w:basedOn w:val="1"/>
    <w:next w:val="1"/>
    <w:qFormat/>
    <w:uiPriority w:val="39"/>
    <w:pPr>
      <w:ind w:left="420"/>
      <w:jc w:val="left"/>
    </w:pPr>
    <w:rPr>
      <w:i/>
      <w:iCs/>
    </w:rPr>
  </w:style>
  <w:style w:type="paragraph" w:styleId="44">
    <w:name w:val="Plain Text"/>
    <w:basedOn w:val="1"/>
    <w:link w:val="169"/>
    <w:qFormat/>
    <w:uiPriority w:val="99"/>
    <w:rPr>
      <w:rFonts w:hAnsi="Courier New" w:cs="Times New Roman"/>
      <w:kern w:val="2"/>
      <w:szCs w:val="20"/>
    </w:rPr>
  </w:style>
  <w:style w:type="paragraph" w:styleId="45">
    <w:name w:val="List Bullet 5"/>
    <w:basedOn w:val="1"/>
    <w:qFormat/>
    <w:uiPriority w:val="0"/>
    <w:pPr>
      <w:widowControl w:val="0"/>
      <w:shd w:val="clear" w:color="auto" w:fill="auto"/>
      <w:tabs>
        <w:tab w:val="left" w:pos="2040"/>
        <w:tab w:val="clear" w:pos="426"/>
      </w:tabs>
      <w:adjustRightInd/>
      <w:snapToGrid/>
      <w:spacing w:line="240" w:lineRule="auto"/>
      <w:ind w:left="2040" w:hanging="360"/>
    </w:pPr>
    <w:rPr>
      <w:rFonts w:ascii="Times New Roman" w:hAnsi="Times New Roman" w:cs="Times New Roman"/>
      <w:kern w:val="2"/>
    </w:rPr>
  </w:style>
  <w:style w:type="paragraph" w:styleId="46">
    <w:name w:val="List Number 4"/>
    <w:basedOn w:val="1"/>
    <w:qFormat/>
    <w:uiPriority w:val="0"/>
    <w:pPr>
      <w:widowControl w:val="0"/>
      <w:shd w:val="clear" w:color="auto" w:fill="auto"/>
      <w:tabs>
        <w:tab w:val="left" w:pos="1620"/>
        <w:tab w:val="clear" w:pos="426"/>
      </w:tabs>
      <w:adjustRightInd/>
      <w:snapToGrid/>
      <w:spacing w:line="240" w:lineRule="auto"/>
      <w:ind w:left="1620" w:hanging="360"/>
    </w:pPr>
    <w:rPr>
      <w:rFonts w:ascii="Times New Roman" w:hAnsi="Times New Roman" w:cs="Times New Roman"/>
      <w:kern w:val="2"/>
    </w:rPr>
  </w:style>
  <w:style w:type="paragraph" w:styleId="47">
    <w:name w:val="toc 8"/>
    <w:basedOn w:val="1"/>
    <w:next w:val="1"/>
    <w:qFormat/>
    <w:uiPriority w:val="0"/>
    <w:pPr>
      <w:ind w:left="1470"/>
      <w:jc w:val="left"/>
    </w:pPr>
    <w:rPr>
      <w:szCs w:val="21"/>
    </w:rPr>
  </w:style>
  <w:style w:type="paragraph" w:styleId="48">
    <w:name w:val="index 3"/>
    <w:basedOn w:val="1"/>
    <w:next w:val="1"/>
    <w:qFormat/>
    <w:uiPriority w:val="0"/>
    <w:pPr>
      <w:widowControl w:val="0"/>
      <w:shd w:val="clear" w:color="auto" w:fill="auto"/>
      <w:tabs>
        <w:tab w:val="clear" w:pos="426"/>
      </w:tabs>
      <w:adjustRightInd/>
      <w:snapToGrid/>
      <w:spacing w:line="240" w:lineRule="auto"/>
      <w:ind w:left="630" w:hanging="210"/>
      <w:jc w:val="left"/>
    </w:pPr>
    <w:rPr>
      <w:rFonts w:ascii="Times New Roman" w:hAnsi="Times New Roman" w:cs="Times New Roman"/>
      <w:kern w:val="2"/>
      <w:sz w:val="20"/>
      <w:szCs w:val="20"/>
    </w:rPr>
  </w:style>
  <w:style w:type="paragraph" w:styleId="49">
    <w:name w:val="Date"/>
    <w:basedOn w:val="1"/>
    <w:next w:val="1"/>
    <w:link w:val="170"/>
    <w:qFormat/>
    <w:uiPriority w:val="0"/>
    <w:rPr>
      <w:rFonts w:hAnsi="Courier New" w:cs="Times New Roman"/>
      <w:kern w:val="2"/>
      <w:sz w:val="32"/>
      <w:szCs w:val="20"/>
    </w:rPr>
  </w:style>
  <w:style w:type="paragraph" w:styleId="50">
    <w:name w:val="Body Text Indent 2"/>
    <w:basedOn w:val="1"/>
    <w:link w:val="171"/>
    <w:qFormat/>
    <w:uiPriority w:val="0"/>
    <w:pPr>
      <w:spacing w:beforeLines="50" w:afterLines="50" w:line="120" w:lineRule="auto"/>
      <w:ind w:firstLine="840" w:firstLineChars="400"/>
      <w:jc w:val="left"/>
    </w:pPr>
    <w:rPr>
      <w:rFonts w:cs="Times New Roman"/>
      <w:kern w:val="2"/>
    </w:rPr>
  </w:style>
  <w:style w:type="paragraph" w:styleId="51">
    <w:name w:val="endnote text"/>
    <w:basedOn w:val="1"/>
    <w:link w:val="172"/>
    <w:qFormat/>
    <w:uiPriority w:val="0"/>
    <w:pPr>
      <w:widowControl w:val="0"/>
      <w:shd w:val="clear" w:color="auto" w:fill="auto"/>
      <w:tabs>
        <w:tab w:val="clear" w:pos="426"/>
      </w:tabs>
      <w:adjustRightInd/>
      <w:spacing w:line="240" w:lineRule="auto"/>
      <w:jc w:val="left"/>
    </w:pPr>
    <w:rPr>
      <w:rFonts w:ascii="Times New Roman" w:hAnsi="Times New Roman" w:cs="Times New Roman"/>
      <w:kern w:val="2"/>
    </w:rPr>
  </w:style>
  <w:style w:type="paragraph" w:styleId="52">
    <w:name w:val="List Continue 5"/>
    <w:basedOn w:val="1"/>
    <w:qFormat/>
    <w:uiPriority w:val="0"/>
    <w:pPr>
      <w:widowControl w:val="0"/>
      <w:shd w:val="clear" w:color="auto" w:fill="auto"/>
      <w:tabs>
        <w:tab w:val="clear" w:pos="426"/>
      </w:tabs>
      <w:adjustRightInd/>
      <w:snapToGrid/>
      <w:spacing w:after="120" w:line="240" w:lineRule="auto"/>
      <w:ind w:left="2100" w:leftChars="1000"/>
    </w:pPr>
    <w:rPr>
      <w:rFonts w:ascii="Times New Roman" w:hAnsi="Times New Roman" w:cs="Times New Roman"/>
      <w:kern w:val="2"/>
    </w:rPr>
  </w:style>
  <w:style w:type="paragraph" w:styleId="53">
    <w:name w:val="Balloon Text"/>
    <w:basedOn w:val="1"/>
    <w:link w:val="173"/>
    <w:qFormat/>
    <w:uiPriority w:val="99"/>
    <w:rPr>
      <w:rFonts w:ascii="Times New Roman" w:hAnsi="Times New Roman" w:cs="Times New Roman"/>
      <w:kern w:val="2"/>
      <w:sz w:val="18"/>
      <w:szCs w:val="18"/>
    </w:rPr>
  </w:style>
  <w:style w:type="paragraph" w:styleId="54">
    <w:name w:val="footer"/>
    <w:basedOn w:val="1"/>
    <w:link w:val="174"/>
    <w:qFormat/>
    <w:uiPriority w:val="99"/>
    <w:pPr>
      <w:tabs>
        <w:tab w:val="center" w:pos="4153"/>
        <w:tab w:val="right" w:pos="8306"/>
      </w:tabs>
      <w:jc w:val="left"/>
    </w:pPr>
    <w:rPr>
      <w:rFonts w:ascii="Times New Roman" w:hAnsi="Times New Roman" w:cs="Times New Roman"/>
      <w:kern w:val="2"/>
      <w:sz w:val="18"/>
      <w:szCs w:val="18"/>
    </w:rPr>
  </w:style>
  <w:style w:type="paragraph" w:styleId="55">
    <w:name w:val="header"/>
    <w:basedOn w:val="1"/>
    <w:link w:val="175"/>
    <w:qFormat/>
    <w:uiPriority w:val="99"/>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56">
    <w:name w:val="Signature"/>
    <w:basedOn w:val="1"/>
    <w:link w:val="176"/>
    <w:qFormat/>
    <w:uiPriority w:val="0"/>
    <w:pPr>
      <w:widowControl w:val="0"/>
      <w:shd w:val="clear" w:color="auto" w:fill="auto"/>
      <w:tabs>
        <w:tab w:val="clear" w:pos="426"/>
      </w:tabs>
      <w:adjustRightInd/>
      <w:snapToGrid/>
      <w:spacing w:line="240" w:lineRule="auto"/>
      <w:ind w:left="100" w:leftChars="2100"/>
    </w:pPr>
    <w:rPr>
      <w:rFonts w:ascii="Times New Roman" w:hAnsi="Times New Roman" w:cs="Times New Roman"/>
      <w:kern w:val="2"/>
    </w:rPr>
  </w:style>
  <w:style w:type="paragraph" w:styleId="57">
    <w:name w:val="toc 1"/>
    <w:basedOn w:val="1"/>
    <w:next w:val="1"/>
    <w:qFormat/>
    <w:uiPriority w:val="39"/>
    <w:pPr>
      <w:tabs>
        <w:tab w:val="right" w:leader="dot" w:pos="8789"/>
      </w:tabs>
      <w:adjustRightInd/>
      <w:snapToGrid/>
      <w:spacing w:before="120" w:after="120"/>
      <w:jc w:val="left"/>
    </w:pPr>
    <w:rPr>
      <w:b/>
      <w:bCs/>
      <w:caps/>
      <w:sz w:val="28"/>
    </w:rPr>
  </w:style>
  <w:style w:type="paragraph" w:styleId="58">
    <w:name w:val="List Continue 4"/>
    <w:basedOn w:val="1"/>
    <w:qFormat/>
    <w:uiPriority w:val="0"/>
    <w:pPr>
      <w:widowControl w:val="0"/>
      <w:shd w:val="clear" w:color="auto" w:fill="auto"/>
      <w:tabs>
        <w:tab w:val="clear" w:pos="426"/>
      </w:tabs>
      <w:adjustRightInd/>
      <w:snapToGrid/>
      <w:spacing w:after="120" w:line="240" w:lineRule="auto"/>
      <w:ind w:left="1680" w:leftChars="800"/>
    </w:pPr>
    <w:rPr>
      <w:rFonts w:ascii="Times New Roman" w:hAnsi="Times New Roman" w:cs="Times New Roman"/>
      <w:kern w:val="2"/>
    </w:rPr>
  </w:style>
  <w:style w:type="paragraph" w:styleId="59">
    <w:name w:val="toc 4"/>
    <w:basedOn w:val="1"/>
    <w:next w:val="1"/>
    <w:qFormat/>
    <w:uiPriority w:val="0"/>
    <w:pPr>
      <w:ind w:left="630"/>
      <w:jc w:val="left"/>
    </w:pPr>
    <w:rPr>
      <w:szCs w:val="21"/>
    </w:rPr>
  </w:style>
  <w:style w:type="paragraph" w:styleId="60">
    <w:name w:val="index heading"/>
    <w:basedOn w:val="1"/>
    <w:next w:val="61"/>
    <w:qFormat/>
    <w:uiPriority w:val="0"/>
    <w:pPr>
      <w:widowControl w:val="0"/>
      <w:shd w:val="clear" w:color="auto" w:fill="auto"/>
      <w:tabs>
        <w:tab w:val="clear" w:pos="426"/>
      </w:tabs>
      <w:adjustRightInd/>
      <w:snapToGrid/>
      <w:spacing w:before="120" w:after="120" w:line="240" w:lineRule="auto"/>
      <w:jc w:val="left"/>
    </w:pPr>
    <w:rPr>
      <w:rFonts w:ascii="Times New Roman" w:hAnsi="Times New Roman" w:cs="Times New Roman"/>
      <w:b/>
      <w:bCs/>
      <w:i/>
      <w:iCs/>
      <w:kern w:val="2"/>
      <w:sz w:val="20"/>
      <w:szCs w:val="20"/>
    </w:rPr>
  </w:style>
  <w:style w:type="paragraph" w:styleId="61">
    <w:name w:val="index 1"/>
    <w:basedOn w:val="1"/>
    <w:next w:val="1"/>
    <w:qFormat/>
    <w:uiPriority w:val="99"/>
    <w:rPr>
      <w:b/>
      <w:color w:val="0000FF"/>
      <w:sz w:val="24"/>
    </w:rPr>
  </w:style>
  <w:style w:type="paragraph" w:styleId="62">
    <w:name w:val="Subtitle"/>
    <w:basedOn w:val="1"/>
    <w:next w:val="1"/>
    <w:link w:val="177"/>
    <w:qFormat/>
    <w:uiPriority w:val="0"/>
    <w:pPr>
      <w:spacing w:before="240" w:after="60" w:line="312" w:lineRule="auto"/>
      <w:jc w:val="center"/>
      <w:outlineLvl w:val="1"/>
    </w:pPr>
    <w:rPr>
      <w:rFonts w:ascii="Cambria" w:hAnsi="Cambria" w:cs="Times New Roman"/>
      <w:b/>
      <w:bCs/>
      <w:kern w:val="28"/>
      <w:sz w:val="28"/>
      <w:szCs w:val="32"/>
    </w:rPr>
  </w:style>
  <w:style w:type="paragraph" w:styleId="63">
    <w:name w:val="List Number 5"/>
    <w:basedOn w:val="1"/>
    <w:qFormat/>
    <w:uiPriority w:val="0"/>
    <w:pPr>
      <w:widowControl w:val="0"/>
      <w:shd w:val="clear" w:color="auto" w:fill="auto"/>
      <w:tabs>
        <w:tab w:val="left" w:pos="2040"/>
        <w:tab w:val="clear" w:pos="426"/>
      </w:tabs>
      <w:adjustRightInd/>
      <w:snapToGrid/>
      <w:spacing w:line="240" w:lineRule="auto"/>
      <w:ind w:left="2040" w:hanging="360"/>
    </w:pPr>
    <w:rPr>
      <w:rFonts w:ascii="Times New Roman" w:hAnsi="Times New Roman" w:cs="Times New Roman"/>
      <w:kern w:val="2"/>
    </w:rPr>
  </w:style>
  <w:style w:type="paragraph" w:styleId="64">
    <w:name w:val="List"/>
    <w:basedOn w:val="1"/>
    <w:qFormat/>
    <w:uiPriority w:val="0"/>
    <w:pPr>
      <w:widowControl w:val="0"/>
      <w:shd w:val="clear" w:color="auto" w:fill="auto"/>
      <w:tabs>
        <w:tab w:val="clear" w:pos="426"/>
      </w:tabs>
      <w:adjustRightInd/>
      <w:snapToGrid/>
      <w:spacing w:line="240" w:lineRule="auto"/>
      <w:ind w:left="200" w:hanging="200" w:hangingChars="200"/>
    </w:pPr>
    <w:rPr>
      <w:rFonts w:ascii="Times New Roman" w:hAnsi="Times New Roman" w:cs="Times New Roman"/>
      <w:kern w:val="2"/>
    </w:rPr>
  </w:style>
  <w:style w:type="paragraph" w:styleId="65">
    <w:name w:val="footnote text"/>
    <w:basedOn w:val="1"/>
    <w:link w:val="178"/>
    <w:qFormat/>
    <w:uiPriority w:val="0"/>
    <w:pPr>
      <w:widowControl w:val="0"/>
      <w:shd w:val="clear" w:color="auto" w:fill="auto"/>
      <w:tabs>
        <w:tab w:val="clear" w:pos="426"/>
      </w:tabs>
      <w:adjustRightInd/>
      <w:spacing w:line="240" w:lineRule="auto"/>
      <w:jc w:val="left"/>
    </w:pPr>
    <w:rPr>
      <w:rFonts w:ascii="Times New Roman" w:hAnsi="Times New Roman" w:cs="Times New Roman"/>
      <w:kern w:val="2"/>
      <w:sz w:val="18"/>
    </w:rPr>
  </w:style>
  <w:style w:type="paragraph" w:styleId="66">
    <w:name w:val="toc 6"/>
    <w:basedOn w:val="1"/>
    <w:next w:val="1"/>
    <w:qFormat/>
    <w:uiPriority w:val="0"/>
    <w:pPr>
      <w:ind w:left="1050"/>
      <w:jc w:val="left"/>
    </w:pPr>
    <w:rPr>
      <w:szCs w:val="21"/>
    </w:rPr>
  </w:style>
  <w:style w:type="paragraph" w:styleId="67">
    <w:name w:val="List 5"/>
    <w:basedOn w:val="1"/>
    <w:qFormat/>
    <w:uiPriority w:val="0"/>
    <w:pPr>
      <w:widowControl w:val="0"/>
      <w:shd w:val="clear" w:color="auto" w:fill="auto"/>
      <w:tabs>
        <w:tab w:val="clear" w:pos="426"/>
      </w:tabs>
      <w:adjustRightInd/>
      <w:snapToGrid/>
      <w:spacing w:line="240" w:lineRule="auto"/>
      <w:ind w:left="100" w:leftChars="800" w:hanging="200" w:hangingChars="200"/>
    </w:pPr>
    <w:rPr>
      <w:rFonts w:ascii="Times New Roman" w:hAnsi="Times New Roman" w:cs="Times New Roman"/>
      <w:kern w:val="2"/>
    </w:rPr>
  </w:style>
  <w:style w:type="paragraph" w:styleId="68">
    <w:name w:val="Body Text Indent 3"/>
    <w:basedOn w:val="1"/>
    <w:link w:val="179"/>
    <w:qFormat/>
    <w:uiPriority w:val="0"/>
    <w:pPr>
      <w:ind w:firstLine="482" w:firstLineChars="200"/>
    </w:pPr>
    <w:rPr>
      <w:rFonts w:hAnsi="Times New Roman" w:cs="Times New Roman"/>
      <w:b/>
      <w:bCs/>
      <w:kern w:val="2"/>
      <w:sz w:val="24"/>
    </w:rPr>
  </w:style>
  <w:style w:type="paragraph" w:styleId="69">
    <w:name w:val="index 7"/>
    <w:basedOn w:val="1"/>
    <w:next w:val="1"/>
    <w:qFormat/>
    <w:uiPriority w:val="0"/>
    <w:pPr>
      <w:widowControl w:val="0"/>
      <w:shd w:val="clear" w:color="auto" w:fill="auto"/>
      <w:tabs>
        <w:tab w:val="clear" w:pos="426"/>
      </w:tabs>
      <w:adjustRightInd/>
      <w:snapToGrid/>
      <w:spacing w:line="240" w:lineRule="auto"/>
      <w:ind w:left="1470" w:hanging="210"/>
      <w:jc w:val="left"/>
    </w:pPr>
    <w:rPr>
      <w:rFonts w:ascii="Times New Roman" w:hAnsi="Times New Roman" w:cs="Times New Roman"/>
      <w:kern w:val="2"/>
      <w:sz w:val="20"/>
      <w:szCs w:val="20"/>
    </w:rPr>
  </w:style>
  <w:style w:type="paragraph" w:styleId="70">
    <w:name w:val="index 9"/>
    <w:basedOn w:val="1"/>
    <w:next w:val="1"/>
    <w:qFormat/>
    <w:uiPriority w:val="0"/>
    <w:pPr>
      <w:widowControl w:val="0"/>
      <w:shd w:val="clear" w:color="auto" w:fill="auto"/>
      <w:tabs>
        <w:tab w:val="clear" w:pos="426"/>
      </w:tabs>
      <w:adjustRightInd/>
      <w:snapToGrid/>
      <w:spacing w:line="240" w:lineRule="auto"/>
      <w:ind w:left="1890" w:hanging="210"/>
      <w:jc w:val="left"/>
    </w:pPr>
    <w:rPr>
      <w:rFonts w:ascii="Times New Roman" w:hAnsi="Times New Roman" w:cs="Times New Roman"/>
      <w:kern w:val="2"/>
      <w:sz w:val="20"/>
      <w:szCs w:val="20"/>
    </w:rPr>
  </w:style>
  <w:style w:type="paragraph" w:styleId="71">
    <w:name w:val="toc 2"/>
    <w:basedOn w:val="1"/>
    <w:next w:val="1"/>
    <w:qFormat/>
    <w:uiPriority w:val="39"/>
    <w:pPr>
      <w:tabs>
        <w:tab w:val="right" w:leader="dot" w:pos="8789"/>
        <w:tab w:val="clear" w:pos="426"/>
      </w:tabs>
      <w:adjustRightInd/>
      <w:snapToGrid/>
      <w:spacing w:line="300" w:lineRule="auto"/>
      <w:ind w:left="50" w:leftChars="50"/>
    </w:pPr>
    <w:rPr>
      <w:smallCaps/>
      <w:sz w:val="28"/>
    </w:rPr>
  </w:style>
  <w:style w:type="paragraph" w:styleId="72">
    <w:name w:val="toc 9"/>
    <w:basedOn w:val="1"/>
    <w:next w:val="1"/>
    <w:qFormat/>
    <w:uiPriority w:val="0"/>
    <w:pPr>
      <w:ind w:left="1680"/>
      <w:jc w:val="left"/>
    </w:pPr>
    <w:rPr>
      <w:szCs w:val="21"/>
    </w:rPr>
  </w:style>
  <w:style w:type="paragraph" w:styleId="73">
    <w:name w:val="Body Text 2"/>
    <w:basedOn w:val="1"/>
    <w:link w:val="180"/>
    <w:qFormat/>
    <w:uiPriority w:val="0"/>
    <w:rPr>
      <w:rFonts w:ascii="Times New Roman" w:hAnsi="Times New Roman" w:cs="Times New Roman"/>
      <w:kern w:val="2"/>
      <w:sz w:val="24"/>
    </w:rPr>
  </w:style>
  <w:style w:type="paragraph" w:styleId="74">
    <w:name w:val="List 4"/>
    <w:basedOn w:val="1"/>
    <w:qFormat/>
    <w:uiPriority w:val="0"/>
    <w:pPr>
      <w:widowControl w:val="0"/>
      <w:shd w:val="clear" w:color="auto" w:fill="auto"/>
      <w:tabs>
        <w:tab w:val="clear" w:pos="426"/>
      </w:tabs>
      <w:adjustRightInd/>
      <w:snapToGrid/>
      <w:spacing w:line="240" w:lineRule="auto"/>
      <w:ind w:left="100" w:leftChars="600" w:hanging="200" w:hangingChars="200"/>
    </w:pPr>
    <w:rPr>
      <w:rFonts w:ascii="Times New Roman" w:hAnsi="Times New Roman" w:cs="Times New Roman"/>
      <w:kern w:val="2"/>
    </w:rPr>
  </w:style>
  <w:style w:type="paragraph" w:styleId="75">
    <w:name w:val="List Continue 2"/>
    <w:basedOn w:val="1"/>
    <w:qFormat/>
    <w:uiPriority w:val="0"/>
    <w:pPr>
      <w:widowControl w:val="0"/>
      <w:shd w:val="clear" w:color="auto" w:fill="auto"/>
      <w:tabs>
        <w:tab w:val="clear" w:pos="426"/>
      </w:tabs>
      <w:adjustRightInd/>
      <w:snapToGrid/>
      <w:spacing w:after="120" w:line="240" w:lineRule="auto"/>
      <w:ind w:left="840" w:leftChars="400"/>
    </w:pPr>
    <w:rPr>
      <w:rFonts w:ascii="Times New Roman" w:hAnsi="Times New Roman" w:cs="Times New Roman"/>
      <w:kern w:val="2"/>
    </w:rPr>
  </w:style>
  <w:style w:type="paragraph" w:styleId="76">
    <w:name w:val="Message Header"/>
    <w:basedOn w:val="1"/>
    <w:link w:val="181"/>
    <w:qFormat/>
    <w:uiPriority w:val="0"/>
    <w:pPr>
      <w:widowControl w:val="0"/>
      <w:pBdr>
        <w:top w:val="single" w:color="auto" w:sz="6" w:space="1"/>
        <w:left w:val="single" w:color="auto" w:sz="6" w:space="1"/>
        <w:bottom w:val="single" w:color="auto" w:sz="6" w:space="1"/>
        <w:right w:val="single" w:color="auto" w:sz="6" w:space="1"/>
      </w:pBdr>
      <w:shd w:val="pct20" w:color="auto" w:fill="auto"/>
      <w:tabs>
        <w:tab w:val="clear" w:pos="426"/>
      </w:tabs>
      <w:adjustRightInd/>
      <w:snapToGrid/>
      <w:spacing w:line="240" w:lineRule="auto"/>
      <w:ind w:left="1080" w:leftChars="500" w:hanging="1080" w:hangingChars="500"/>
    </w:pPr>
    <w:rPr>
      <w:rFonts w:ascii="Arial" w:hAnsi="Arial" w:cs="Times New Roman"/>
      <w:kern w:val="2"/>
      <w:sz w:val="24"/>
    </w:rPr>
  </w:style>
  <w:style w:type="paragraph" w:styleId="77">
    <w:name w:val="HTML Preformatted"/>
    <w:basedOn w:val="1"/>
    <w:link w:val="18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sz w:val="20"/>
      <w:szCs w:val="20"/>
    </w:rPr>
  </w:style>
  <w:style w:type="paragraph" w:styleId="78">
    <w:name w:val="Normal (Web)"/>
    <w:basedOn w:val="1"/>
    <w:qFormat/>
    <w:uiPriority w:val="0"/>
    <w:rPr>
      <w:sz w:val="24"/>
    </w:rPr>
  </w:style>
  <w:style w:type="paragraph" w:styleId="79">
    <w:name w:val="List Continue 3"/>
    <w:basedOn w:val="1"/>
    <w:qFormat/>
    <w:uiPriority w:val="0"/>
    <w:pPr>
      <w:widowControl w:val="0"/>
      <w:shd w:val="clear" w:color="auto" w:fill="auto"/>
      <w:tabs>
        <w:tab w:val="clear" w:pos="426"/>
      </w:tabs>
      <w:adjustRightInd/>
      <w:snapToGrid/>
      <w:spacing w:after="120" w:line="240" w:lineRule="auto"/>
      <w:ind w:left="1260" w:leftChars="600"/>
    </w:pPr>
    <w:rPr>
      <w:rFonts w:ascii="Times New Roman" w:hAnsi="Times New Roman" w:cs="Times New Roman"/>
      <w:kern w:val="2"/>
    </w:rPr>
  </w:style>
  <w:style w:type="paragraph" w:styleId="80">
    <w:name w:val="index 2"/>
    <w:basedOn w:val="1"/>
    <w:next w:val="1"/>
    <w:qFormat/>
    <w:uiPriority w:val="0"/>
    <w:pPr>
      <w:widowControl w:val="0"/>
      <w:shd w:val="clear" w:color="auto" w:fill="auto"/>
      <w:tabs>
        <w:tab w:val="clear" w:pos="426"/>
      </w:tabs>
      <w:adjustRightInd/>
      <w:snapToGrid/>
      <w:spacing w:line="240" w:lineRule="auto"/>
      <w:ind w:left="420" w:hanging="210"/>
      <w:jc w:val="left"/>
    </w:pPr>
    <w:rPr>
      <w:rFonts w:ascii="Times New Roman" w:hAnsi="Times New Roman" w:cs="Times New Roman"/>
      <w:kern w:val="2"/>
      <w:sz w:val="20"/>
      <w:szCs w:val="20"/>
    </w:rPr>
  </w:style>
  <w:style w:type="paragraph" w:styleId="81">
    <w:name w:val="Title"/>
    <w:basedOn w:val="1"/>
    <w:next w:val="1"/>
    <w:link w:val="183"/>
    <w:qFormat/>
    <w:uiPriority w:val="0"/>
    <w:pPr>
      <w:spacing w:before="240" w:after="60"/>
      <w:jc w:val="center"/>
      <w:outlineLvl w:val="0"/>
    </w:pPr>
    <w:rPr>
      <w:rFonts w:ascii="Arial" w:hAnsi="Arial" w:cs="Times New Roman"/>
      <w:b/>
      <w:bCs/>
      <w:kern w:val="2"/>
      <w:sz w:val="36"/>
      <w:szCs w:val="32"/>
    </w:rPr>
  </w:style>
  <w:style w:type="paragraph" w:styleId="82">
    <w:name w:val="annotation subject"/>
    <w:basedOn w:val="27"/>
    <w:next w:val="27"/>
    <w:link w:val="184"/>
    <w:qFormat/>
    <w:uiPriority w:val="0"/>
    <w:pPr>
      <w:autoSpaceDE/>
      <w:autoSpaceDN/>
      <w:adjustRightInd/>
      <w:textAlignment w:val="auto"/>
    </w:pPr>
    <w:rPr>
      <w:rFonts w:ascii="Times New Roman"/>
      <w:b/>
      <w:bCs/>
      <w:kern w:val="2"/>
      <w:sz w:val="21"/>
      <w:szCs w:val="24"/>
    </w:rPr>
  </w:style>
  <w:style w:type="paragraph" w:styleId="83">
    <w:name w:val="Body Text First Indent"/>
    <w:basedOn w:val="8"/>
    <w:link w:val="185"/>
    <w:qFormat/>
    <w:uiPriority w:val="0"/>
    <w:pPr>
      <w:widowControl w:val="0"/>
      <w:shd w:val="clear" w:color="auto" w:fill="auto"/>
      <w:adjustRightInd/>
      <w:snapToGrid/>
      <w:spacing w:after="120" w:line="240" w:lineRule="auto"/>
      <w:ind w:firstLine="420" w:firstLineChars="100"/>
    </w:pPr>
    <w:rPr>
      <w:kern w:val="2"/>
      <w:sz w:val="21"/>
    </w:rPr>
  </w:style>
  <w:style w:type="paragraph" w:styleId="84">
    <w:name w:val="Body Text First Indent 2"/>
    <w:basedOn w:val="33"/>
    <w:link w:val="149"/>
    <w:qFormat/>
    <w:uiPriority w:val="0"/>
    <w:pPr>
      <w:widowControl w:val="0"/>
      <w:shd w:val="clear" w:color="auto" w:fill="auto"/>
      <w:adjustRightInd/>
      <w:snapToGrid/>
      <w:spacing w:after="120" w:line="240" w:lineRule="auto"/>
      <w:ind w:left="420" w:leftChars="200"/>
    </w:pPr>
  </w:style>
  <w:style w:type="table" w:styleId="86">
    <w:name w:val="Table Grid"/>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7">
    <w:name w:val="Table Theme"/>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Colorful 1"/>
    <w:basedOn w:val="85"/>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9">
    <w:name w:val="Table Colorful 2"/>
    <w:basedOn w:val="85"/>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0">
    <w:name w:val="Table Colorful 3"/>
    <w:basedOn w:val="85"/>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1">
    <w:name w:val="Table Elegant"/>
    <w:basedOn w:val="85"/>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2">
    <w:name w:val="Table Classic 1"/>
    <w:basedOn w:val="85"/>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Classic 2"/>
    <w:basedOn w:val="85"/>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4">
    <w:name w:val="Table Classic 3"/>
    <w:basedOn w:val="85"/>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5">
    <w:name w:val="Table Classic 4"/>
    <w:basedOn w:val="85"/>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6">
    <w:name w:val="Table Simple 1"/>
    <w:basedOn w:val="85"/>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7">
    <w:name w:val="Table Simple 2"/>
    <w:basedOn w:val="85"/>
    <w:qFormat/>
    <w:uiPriority w:val="0"/>
    <w:pPr>
      <w:widowControl w:val="0"/>
      <w:jc w:val="both"/>
    </w:p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Simple 3"/>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9">
    <w:name w:val="Table Subtle 1"/>
    <w:basedOn w:val="85"/>
    <w:qFormat/>
    <w:uiPriority w:val="0"/>
    <w:pPr>
      <w:widowControl w:val="0"/>
      <w:jc w:val="both"/>
    </w:p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0">
    <w:name w:val="Table Subtle 2"/>
    <w:basedOn w:val="85"/>
    <w:qFormat/>
    <w:uiPriority w:val="0"/>
    <w:pPr>
      <w:widowControl w:val="0"/>
      <w:jc w:val="both"/>
    </w:p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3D effects 1"/>
    <w:basedOn w:val="85"/>
    <w:qFormat/>
    <w:uiPriority w:val="0"/>
    <w:pPr>
      <w:widowControl w:val="0"/>
      <w:jc w:val="both"/>
    </w:pP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2">
    <w:name w:val="Table 3D effects 2"/>
    <w:basedOn w:val="85"/>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3D effects 3"/>
    <w:basedOn w:val="85"/>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1"/>
    <w:basedOn w:val="85"/>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2"/>
    <w:basedOn w:val="85"/>
    <w:qFormat/>
    <w:uiPriority w:val="0"/>
    <w:pPr>
      <w:widowControl w:val="0"/>
      <w:jc w:val="both"/>
    </w:p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3"/>
    <w:basedOn w:val="85"/>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7">
    <w:name w:val="Table List 4"/>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8">
    <w:name w:val="Table List 5"/>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9">
    <w:name w:val="Table List 6"/>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List 7"/>
    <w:basedOn w:val="85"/>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1">
    <w:name w:val="Table List 8"/>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Contemporary"/>
    <w:basedOn w:val="85"/>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3">
    <w:name w:val="Table Columns 1"/>
    <w:basedOn w:val="85"/>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4">
    <w:name w:val="Table Columns 2"/>
    <w:basedOn w:val="85"/>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3"/>
    <w:basedOn w:val="85"/>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6">
    <w:name w:val="Table Columns 4"/>
    <w:basedOn w:val="85"/>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7">
    <w:name w:val="Table Columns 5"/>
    <w:basedOn w:val="85"/>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8">
    <w:name w:val="Table Grid 1"/>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2"/>
    <w:basedOn w:val="85"/>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0">
    <w:name w:val="Table Grid 3"/>
    <w:basedOn w:val="85"/>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4"/>
    <w:basedOn w:val="85"/>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2">
    <w:name w:val="Table Grid 5"/>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6"/>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7"/>
    <w:basedOn w:val="85"/>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8"/>
    <w:basedOn w:val="85"/>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Web 1"/>
    <w:basedOn w:val="85"/>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Web 2"/>
    <w:basedOn w:val="85"/>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3"/>
    <w:basedOn w:val="85"/>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Professional"/>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1">
    <w:name w:val="Strong"/>
    <w:qFormat/>
    <w:uiPriority w:val="0"/>
    <w:rPr>
      <w:b/>
      <w:bCs/>
    </w:rPr>
  </w:style>
  <w:style w:type="character" w:styleId="132">
    <w:name w:val="endnote reference"/>
    <w:qFormat/>
    <w:uiPriority w:val="0"/>
    <w:rPr>
      <w:vertAlign w:val="superscript"/>
    </w:rPr>
  </w:style>
  <w:style w:type="character" w:styleId="133">
    <w:name w:val="page number"/>
    <w:qFormat/>
    <w:uiPriority w:val="0"/>
  </w:style>
  <w:style w:type="character" w:styleId="134">
    <w:name w:val="FollowedHyperlink"/>
    <w:qFormat/>
    <w:uiPriority w:val="0"/>
    <w:rPr>
      <w:color w:val="800080"/>
      <w:u w:val="single"/>
    </w:rPr>
  </w:style>
  <w:style w:type="character" w:styleId="135">
    <w:name w:val="Emphasis"/>
    <w:qFormat/>
    <w:uiPriority w:val="0"/>
    <w:rPr>
      <w:i/>
      <w:iCs/>
    </w:rPr>
  </w:style>
  <w:style w:type="character" w:styleId="136">
    <w:name w:val="line number"/>
    <w:qFormat/>
    <w:uiPriority w:val="0"/>
  </w:style>
  <w:style w:type="character" w:styleId="137">
    <w:name w:val="HTML Definition"/>
    <w:qFormat/>
    <w:uiPriority w:val="0"/>
    <w:rPr>
      <w:i/>
      <w:iCs/>
    </w:rPr>
  </w:style>
  <w:style w:type="character" w:styleId="138">
    <w:name w:val="HTML Typewriter"/>
    <w:qFormat/>
    <w:uiPriority w:val="0"/>
    <w:rPr>
      <w:rFonts w:ascii="Courier New" w:hAnsi="Courier New" w:cs="Courier New"/>
      <w:sz w:val="20"/>
      <w:szCs w:val="20"/>
    </w:rPr>
  </w:style>
  <w:style w:type="character" w:styleId="139">
    <w:name w:val="HTML Acronym"/>
    <w:qFormat/>
    <w:uiPriority w:val="0"/>
  </w:style>
  <w:style w:type="character" w:styleId="140">
    <w:name w:val="HTML Variable"/>
    <w:qFormat/>
    <w:uiPriority w:val="0"/>
    <w:rPr>
      <w:i/>
      <w:iCs/>
    </w:rPr>
  </w:style>
  <w:style w:type="character" w:styleId="141">
    <w:name w:val="Hyperlink"/>
    <w:qFormat/>
    <w:uiPriority w:val="0"/>
    <w:rPr>
      <w:color w:val="0000FF"/>
      <w:u w:val="single"/>
    </w:rPr>
  </w:style>
  <w:style w:type="character" w:styleId="142">
    <w:name w:val="HTML Code"/>
    <w:qFormat/>
    <w:uiPriority w:val="0"/>
    <w:rPr>
      <w:rFonts w:ascii="Courier New" w:hAnsi="Courier New" w:cs="Courier New"/>
      <w:sz w:val="20"/>
      <w:szCs w:val="20"/>
    </w:rPr>
  </w:style>
  <w:style w:type="character" w:styleId="143">
    <w:name w:val="annotation reference"/>
    <w:basedOn w:val="130"/>
    <w:unhideWhenUsed/>
    <w:qFormat/>
    <w:uiPriority w:val="99"/>
    <w:rPr>
      <w:sz w:val="21"/>
      <w:szCs w:val="21"/>
    </w:rPr>
  </w:style>
  <w:style w:type="character" w:styleId="144">
    <w:name w:val="HTML Cite"/>
    <w:qFormat/>
    <w:uiPriority w:val="0"/>
    <w:rPr>
      <w:i/>
      <w:iCs/>
    </w:rPr>
  </w:style>
  <w:style w:type="character" w:styleId="145">
    <w:name w:val="footnote reference"/>
    <w:qFormat/>
    <w:uiPriority w:val="0"/>
    <w:rPr>
      <w:vertAlign w:val="superscript"/>
    </w:rPr>
  </w:style>
  <w:style w:type="character" w:styleId="146">
    <w:name w:val="HTML Keyboard"/>
    <w:qFormat/>
    <w:uiPriority w:val="0"/>
    <w:rPr>
      <w:rFonts w:ascii="Courier New" w:hAnsi="Courier New" w:cs="Courier New"/>
      <w:sz w:val="20"/>
      <w:szCs w:val="20"/>
    </w:rPr>
  </w:style>
  <w:style w:type="character" w:styleId="147">
    <w:name w:val="HTML Sample"/>
    <w:qFormat/>
    <w:uiPriority w:val="0"/>
    <w:rPr>
      <w:rFonts w:ascii="Courier New" w:hAnsi="Courier New" w:cs="Courier New"/>
    </w:rPr>
  </w:style>
  <w:style w:type="character" w:customStyle="1" w:styleId="148">
    <w:name w:val="正文文本缩进 字符"/>
    <w:link w:val="33"/>
    <w:qFormat/>
    <w:uiPriority w:val="0"/>
    <w:rPr>
      <w:kern w:val="2"/>
      <w:sz w:val="21"/>
      <w:szCs w:val="24"/>
    </w:rPr>
  </w:style>
  <w:style w:type="character" w:customStyle="1" w:styleId="149">
    <w:name w:val="正文文本首行缩进 2 字符"/>
    <w:link w:val="84"/>
    <w:qFormat/>
    <w:uiPriority w:val="0"/>
    <w:rPr>
      <w:kern w:val="2"/>
      <w:sz w:val="21"/>
      <w:szCs w:val="24"/>
    </w:rPr>
  </w:style>
  <w:style w:type="character" w:customStyle="1" w:styleId="150">
    <w:name w:val="标题 4 字符"/>
    <w:link w:val="5"/>
    <w:qFormat/>
    <w:uiPriority w:val="0"/>
    <w:rPr>
      <w:rFonts w:ascii="Arial" w:hAnsi="Arial" w:eastAsia="黑体"/>
      <w:b/>
      <w:bCs/>
      <w:kern w:val="2"/>
      <w:sz w:val="28"/>
      <w:szCs w:val="28"/>
      <w:lang w:val="en-US" w:eastAsia="zh-CN" w:bidi="ar-SA"/>
    </w:rPr>
  </w:style>
  <w:style w:type="character" w:customStyle="1" w:styleId="151">
    <w:name w:val="标题 3 字符"/>
    <w:link w:val="3"/>
    <w:qFormat/>
    <w:uiPriority w:val="0"/>
    <w:rPr>
      <w:rFonts w:ascii="宋体" w:hAnsi="宋体"/>
      <w:b/>
      <w:bCs/>
      <w:kern w:val="2"/>
      <w:sz w:val="24"/>
      <w:szCs w:val="32"/>
      <w:shd w:val="clear" w:color="auto" w:fill="FFFFFF"/>
    </w:rPr>
  </w:style>
  <w:style w:type="character" w:customStyle="1" w:styleId="152">
    <w:name w:val="标题 1 字符"/>
    <w:link w:val="2"/>
    <w:qFormat/>
    <w:uiPriority w:val="99"/>
    <w:rPr>
      <w:rFonts w:ascii="宋体" w:hAnsi="宋体" w:eastAsia="黑体"/>
      <w:b/>
      <w:bCs/>
      <w:kern w:val="44"/>
      <w:sz w:val="28"/>
      <w:szCs w:val="28"/>
      <w:lang w:val="en-US" w:eastAsia="zh-CN" w:bidi="ar-SA"/>
    </w:rPr>
  </w:style>
  <w:style w:type="character" w:customStyle="1" w:styleId="153">
    <w:name w:val="标题 2 字符"/>
    <w:link w:val="4"/>
    <w:qFormat/>
    <w:uiPriority w:val="9"/>
    <w:rPr>
      <w:rFonts w:ascii="宋体" w:hAnsi="宋体"/>
      <w:b/>
      <w:sz w:val="24"/>
      <w:shd w:val="clear" w:color="auto" w:fill="FFFFFF"/>
    </w:rPr>
  </w:style>
  <w:style w:type="character" w:customStyle="1" w:styleId="154">
    <w:name w:val="标题 5 字符"/>
    <w:link w:val="6"/>
    <w:qFormat/>
    <w:uiPriority w:val="0"/>
    <w:rPr>
      <w:b/>
      <w:kern w:val="2"/>
      <w:sz w:val="24"/>
    </w:rPr>
  </w:style>
  <w:style w:type="character" w:customStyle="1" w:styleId="155">
    <w:name w:val="正文缩进 字符"/>
    <w:link w:val="7"/>
    <w:qFormat/>
    <w:uiPriority w:val="0"/>
    <w:rPr>
      <w:rFonts w:eastAsia="宋体"/>
      <w:kern w:val="2"/>
      <w:sz w:val="21"/>
      <w:lang w:val="en-US" w:eastAsia="zh-CN" w:bidi="ar-SA"/>
    </w:rPr>
  </w:style>
  <w:style w:type="character" w:customStyle="1" w:styleId="156">
    <w:name w:val="标题 6 字符"/>
    <w:link w:val="9"/>
    <w:qFormat/>
    <w:uiPriority w:val="0"/>
    <w:rPr>
      <w:rFonts w:ascii="Arial" w:hAnsi="Arial" w:eastAsia="黑体"/>
      <w:b/>
      <w:kern w:val="2"/>
      <w:sz w:val="24"/>
    </w:rPr>
  </w:style>
  <w:style w:type="character" w:customStyle="1" w:styleId="157">
    <w:name w:val="标题 7 字符"/>
    <w:link w:val="10"/>
    <w:qFormat/>
    <w:uiPriority w:val="0"/>
    <w:rPr>
      <w:b/>
      <w:kern w:val="2"/>
      <w:sz w:val="24"/>
    </w:rPr>
  </w:style>
  <w:style w:type="character" w:customStyle="1" w:styleId="158">
    <w:name w:val="标题 8 字符"/>
    <w:link w:val="11"/>
    <w:qFormat/>
    <w:uiPriority w:val="0"/>
    <w:rPr>
      <w:rFonts w:ascii="Arial" w:hAnsi="Arial" w:eastAsia="黑体"/>
      <w:kern w:val="2"/>
      <w:sz w:val="24"/>
    </w:rPr>
  </w:style>
  <w:style w:type="character" w:customStyle="1" w:styleId="159">
    <w:name w:val="标题 9 字符"/>
    <w:link w:val="12"/>
    <w:qFormat/>
    <w:uiPriority w:val="0"/>
    <w:rPr>
      <w:rFonts w:ascii="Arial" w:hAnsi="Arial" w:eastAsia="黑体"/>
      <w:kern w:val="2"/>
      <w:sz w:val="21"/>
    </w:rPr>
  </w:style>
  <w:style w:type="character" w:customStyle="1" w:styleId="160">
    <w:name w:val="注释标题 字符"/>
    <w:link w:val="16"/>
    <w:qFormat/>
    <w:uiPriority w:val="0"/>
    <w:rPr>
      <w:kern w:val="2"/>
      <w:sz w:val="21"/>
      <w:szCs w:val="24"/>
    </w:rPr>
  </w:style>
  <w:style w:type="character" w:customStyle="1" w:styleId="161">
    <w:name w:val="电子邮件签名 字符"/>
    <w:link w:val="19"/>
    <w:qFormat/>
    <w:uiPriority w:val="0"/>
    <w:rPr>
      <w:kern w:val="2"/>
      <w:sz w:val="21"/>
      <w:szCs w:val="24"/>
    </w:rPr>
  </w:style>
  <w:style w:type="character" w:customStyle="1" w:styleId="162">
    <w:name w:val="文档结构图 字符"/>
    <w:link w:val="25"/>
    <w:qFormat/>
    <w:uiPriority w:val="0"/>
    <w:rPr>
      <w:kern w:val="2"/>
      <w:sz w:val="21"/>
      <w:szCs w:val="24"/>
      <w:shd w:val="clear" w:color="auto" w:fill="000080"/>
    </w:rPr>
  </w:style>
  <w:style w:type="character" w:customStyle="1" w:styleId="163">
    <w:name w:val="批注文字 字符"/>
    <w:link w:val="27"/>
    <w:qFormat/>
    <w:uiPriority w:val="0"/>
    <w:rPr>
      <w:rFonts w:ascii="宋体" w:eastAsia="宋体"/>
      <w:sz w:val="34"/>
      <w:lang w:val="en-US" w:eastAsia="zh-CN" w:bidi="ar-SA"/>
    </w:rPr>
  </w:style>
  <w:style w:type="character" w:customStyle="1" w:styleId="164">
    <w:name w:val="称呼 字符"/>
    <w:link w:val="29"/>
    <w:qFormat/>
    <w:uiPriority w:val="0"/>
    <w:rPr>
      <w:kern w:val="2"/>
      <w:sz w:val="21"/>
      <w:szCs w:val="24"/>
    </w:rPr>
  </w:style>
  <w:style w:type="character" w:customStyle="1" w:styleId="165">
    <w:name w:val="正文文本 3 字符"/>
    <w:link w:val="30"/>
    <w:qFormat/>
    <w:uiPriority w:val="0"/>
    <w:rPr>
      <w:kern w:val="2"/>
      <w:sz w:val="16"/>
      <w:szCs w:val="16"/>
    </w:rPr>
  </w:style>
  <w:style w:type="character" w:customStyle="1" w:styleId="166">
    <w:name w:val="结束语 字符"/>
    <w:link w:val="31"/>
    <w:qFormat/>
    <w:uiPriority w:val="0"/>
    <w:rPr>
      <w:kern w:val="2"/>
      <w:sz w:val="21"/>
      <w:szCs w:val="24"/>
    </w:rPr>
  </w:style>
  <w:style w:type="character" w:customStyle="1" w:styleId="167">
    <w:name w:val="正文文本 字符"/>
    <w:link w:val="8"/>
    <w:qFormat/>
    <w:uiPriority w:val="0"/>
    <w:rPr>
      <w:rFonts w:ascii="宋体" w:hAnsi="宋体" w:cs="宋体"/>
      <w:b/>
      <w:bCs/>
      <w:sz w:val="24"/>
      <w:szCs w:val="24"/>
      <w:shd w:val="clear" w:color="auto" w:fill="FFFFFF"/>
    </w:rPr>
  </w:style>
  <w:style w:type="character" w:customStyle="1" w:styleId="168">
    <w:name w:val="HTML 地址 字符"/>
    <w:link w:val="40"/>
    <w:qFormat/>
    <w:uiPriority w:val="0"/>
    <w:rPr>
      <w:i/>
      <w:iCs/>
      <w:kern w:val="2"/>
      <w:sz w:val="21"/>
      <w:szCs w:val="24"/>
    </w:rPr>
  </w:style>
  <w:style w:type="character" w:customStyle="1" w:styleId="169">
    <w:name w:val="纯文本 字符"/>
    <w:link w:val="44"/>
    <w:qFormat/>
    <w:uiPriority w:val="99"/>
    <w:rPr>
      <w:rFonts w:ascii="宋体" w:hAnsi="Courier New"/>
      <w:kern w:val="2"/>
      <w:sz w:val="21"/>
    </w:rPr>
  </w:style>
  <w:style w:type="character" w:customStyle="1" w:styleId="170">
    <w:name w:val="日期 字符"/>
    <w:link w:val="49"/>
    <w:qFormat/>
    <w:uiPriority w:val="0"/>
    <w:rPr>
      <w:rFonts w:ascii="宋体" w:hAnsi="Courier New"/>
      <w:kern w:val="2"/>
      <w:sz w:val="32"/>
    </w:rPr>
  </w:style>
  <w:style w:type="character" w:customStyle="1" w:styleId="171">
    <w:name w:val="正文文本缩进 2 字符"/>
    <w:link w:val="50"/>
    <w:qFormat/>
    <w:uiPriority w:val="0"/>
    <w:rPr>
      <w:rFonts w:ascii="宋体" w:hAnsi="宋体"/>
      <w:kern w:val="2"/>
      <w:sz w:val="21"/>
      <w:szCs w:val="24"/>
    </w:rPr>
  </w:style>
  <w:style w:type="character" w:customStyle="1" w:styleId="172">
    <w:name w:val="尾注文本 字符"/>
    <w:link w:val="51"/>
    <w:qFormat/>
    <w:uiPriority w:val="0"/>
    <w:rPr>
      <w:kern w:val="2"/>
      <w:sz w:val="21"/>
      <w:szCs w:val="24"/>
    </w:rPr>
  </w:style>
  <w:style w:type="character" w:customStyle="1" w:styleId="173">
    <w:name w:val="批注框文本 字符"/>
    <w:link w:val="53"/>
    <w:qFormat/>
    <w:uiPriority w:val="99"/>
    <w:rPr>
      <w:kern w:val="2"/>
      <w:sz w:val="18"/>
      <w:szCs w:val="18"/>
    </w:rPr>
  </w:style>
  <w:style w:type="character" w:customStyle="1" w:styleId="174">
    <w:name w:val="页脚 字符"/>
    <w:link w:val="54"/>
    <w:qFormat/>
    <w:uiPriority w:val="99"/>
    <w:rPr>
      <w:kern w:val="2"/>
      <w:sz w:val="18"/>
      <w:szCs w:val="18"/>
    </w:rPr>
  </w:style>
  <w:style w:type="character" w:customStyle="1" w:styleId="175">
    <w:name w:val="页眉 字符"/>
    <w:link w:val="55"/>
    <w:qFormat/>
    <w:uiPriority w:val="99"/>
    <w:rPr>
      <w:kern w:val="2"/>
      <w:sz w:val="18"/>
      <w:szCs w:val="18"/>
    </w:rPr>
  </w:style>
  <w:style w:type="character" w:customStyle="1" w:styleId="176">
    <w:name w:val="签名 字符"/>
    <w:link w:val="56"/>
    <w:qFormat/>
    <w:uiPriority w:val="0"/>
    <w:rPr>
      <w:kern w:val="2"/>
      <w:sz w:val="21"/>
      <w:szCs w:val="24"/>
    </w:rPr>
  </w:style>
  <w:style w:type="character" w:customStyle="1" w:styleId="177">
    <w:name w:val="副标题 字符"/>
    <w:link w:val="62"/>
    <w:qFormat/>
    <w:uiPriority w:val="0"/>
    <w:rPr>
      <w:rFonts w:ascii="Cambria" w:hAnsi="Cambria" w:cs="Times New Roman"/>
      <w:b/>
      <w:bCs/>
      <w:kern w:val="28"/>
      <w:sz w:val="28"/>
      <w:szCs w:val="32"/>
    </w:rPr>
  </w:style>
  <w:style w:type="character" w:customStyle="1" w:styleId="178">
    <w:name w:val="脚注文本 字符"/>
    <w:link w:val="65"/>
    <w:qFormat/>
    <w:uiPriority w:val="0"/>
    <w:rPr>
      <w:kern w:val="2"/>
      <w:sz w:val="18"/>
      <w:szCs w:val="24"/>
    </w:rPr>
  </w:style>
  <w:style w:type="character" w:customStyle="1" w:styleId="179">
    <w:name w:val="正文文本缩进 3 字符"/>
    <w:link w:val="68"/>
    <w:qFormat/>
    <w:uiPriority w:val="0"/>
    <w:rPr>
      <w:rFonts w:ascii="宋体"/>
      <w:b/>
      <w:bCs/>
      <w:kern w:val="2"/>
      <w:sz w:val="24"/>
      <w:szCs w:val="24"/>
    </w:rPr>
  </w:style>
  <w:style w:type="character" w:customStyle="1" w:styleId="180">
    <w:name w:val="正文文本 2 字符"/>
    <w:link w:val="73"/>
    <w:qFormat/>
    <w:uiPriority w:val="0"/>
    <w:rPr>
      <w:kern w:val="2"/>
      <w:sz w:val="24"/>
      <w:szCs w:val="24"/>
    </w:rPr>
  </w:style>
  <w:style w:type="character" w:customStyle="1" w:styleId="181">
    <w:name w:val="信息标题 字符"/>
    <w:link w:val="76"/>
    <w:qFormat/>
    <w:uiPriority w:val="0"/>
    <w:rPr>
      <w:rFonts w:ascii="Arial" w:hAnsi="Arial" w:cs="Arial"/>
      <w:kern w:val="2"/>
      <w:sz w:val="24"/>
      <w:szCs w:val="24"/>
      <w:shd w:val="pct20" w:color="auto" w:fill="auto"/>
    </w:rPr>
  </w:style>
  <w:style w:type="character" w:customStyle="1" w:styleId="182">
    <w:name w:val="HTML 预设格式 字符"/>
    <w:link w:val="77"/>
    <w:qFormat/>
    <w:uiPriority w:val="0"/>
    <w:rPr>
      <w:rFonts w:ascii="Arial Unicode MS" w:hAnsi="Arial Unicode MS" w:eastAsia="Arial Unicode MS"/>
      <w:color w:val="000000"/>
    </w:rPr>
  </w:style>
  <w:style w:type="character" w:customStyle="1" w:styleId="183">
    <w:name w:val="标题 字符"/>
    <w:link w:val="81"/>
    <w:qFormat/>
    <w:uiPriority w:val="0"/>
    <w:rPr>
      <w:rFonts w:ascii="Arial" w:hAnsi="Arial" w:cs="Arial"/>
      <w:b/>
      <w:bCs/>
      <w:kern w:val="2"/>
      <w:sz w:val="36"/>
      <w:szCs w:val="32"/>
    </w:rPr>
  </w:style>
  <w:style w:type="character" w:customStyle="1" w:styleId="184">
    <w:name w:val="批注主题 字符"/>
    <w:link w:val="82"/>
    <w:qFormat/>
    <w:uiPriority w:val="0"/>
    <w:rPr>
      <w:b/>
      <w:bCs/>
      <w:kern w:val="2"/>
      <w:sz w:val="21"/>
      <w:szCs w:val="24"/>
    </w:rPr>
  </w:style>
  <w:style w:type="character" w:customStyle="1" w:styleId="185">
    <w:name w:val="正文文本首行缩进 字符"/>
    <w:link w:val="83"/>
    <w:qFormat/>
    <w:uiPriority w:val="0"/>
    <w:rPr>
      <w:rFonts w:ascii="宋体" w:hAnsi="宋体" w:cs="宋体"/>
      <w:b/>
      <w:bCs/>
      <w:kern w:val="2"/>
      <w:sz w:val="21"/>
      <w:szCs w:val="24"/>
      <w:shd w:val="clear" w:color="auto" w:fill="FFFFFF"/>
    </w:rPr>
  </w:style>
  <w:style w:type="character" w:customStyle="1" w:styleId="186">
    <w:name w:val="pan Char"/>
    <w:link w:val="187"/>
    <w:qFormat/>
    <w:uiPriority w:val="0"/>
    <w:rPr>
      <w:rFonts w:ascii="黑体" w:hAnsi="黑体" w:eastAsia="黑体"/>
      <w:kern w:val="2"/>
      <w:sz w:val="32"/>
      <w:szCs w:val="32"/>
      <w:shd w:val="clear" w:color="auto" w:fill="FFFFFF"/>
    </w:rPr>
  </w:style>
  <w:style w:type="paragraph" w:customStyle="1" w:styleId="187">
    <w:name w:val="pan"/>
    <w:basedOn w:val="188"/>
    <w:link w:val="186"/>
    <w:qFormat/>
    <w:uiPriority w:val="0"/>
    <w:pPr>
      <w:tabs>
        <w:tab w:val="left" w:pos="426"/>
        <w:tab w:val="left" w:pos="840"/>
      </w:tabs>
      <w:ind w:left="840" w:hanging="420" w:firstLineChars="0"/>
      <w:outlineLvl w:val="0"/>
    </w:pPr>
    <w:rPr>
      <w:rFonts w:ascii="黑体" w:hAnsi="黑体" w:eastAsia="黑体"/>
      <w:sz w:val="32"/>
      <w:szCs w:val="32"/>
    </w:rPr>
  </w:style>
  <w:style w:type="paragraph" w:customStyle="1" w:styleId="188">
    <w:name w:val="列出段落1"/>
    <w:basedOn w:val="1"/>
    <w:link w:val="189"/>
    <w:qFormat/>
    <w:uiPriority w:val="0"/>
    <w:pPr>
      <w:ind w:firstLine="420" w:firstLineChars="200"/>
    </w:pPr>
    <w:rPr>
      <w:rFonts w:ascii="Times New Roman" w:hAnsi="Times New Roman" w:cs="Times New Roman"/>
      <w:kern w:val="2"/>
    </w:rPr>
  </w:style>
  <w:style w:type="character" w:customStyle="1" w:styleId="189">
    <w:name w:val="列出段落 Char"/>
    <w:link w:val="188"/>
    <w:qFormat/>
    <w:uiPriority w:val="0"/>
    <w:rPr>
      <w:kern w:val="2"/>
      <w:sz w:val="21"/>
      <w:szCs w:val="24"/>
    </w:rPr>
  </w:style>
  <w:style w:type="character" w:customStyle="1" w:styleId="190">
    <w:name w:val="图片注释 Char"/>
    <w:link w:val="191"/>
    <w:qFormat/>
    <w:uiPriority w:val="0"/>
    <w:rPr>
      <w:rFonts w:ascii="宋体" w:hAnsi="宋体"/>
      <w:kern w:val="2"/>
      <w:sz w:val="24"/>
      <w:szCs w:val="24"/>
      <w:u w:val="single"/>
    </w:rPr>
  </w:style>
  <w:style w:type="paragraph" w:customStyle="1" w:styleId="191">
    <w:name w:val="图片注释"/>
    <w:basedOn w:val="1"/>
    <w:link w:val="190"/>
    <w:qFormat/>
    <w:uiPriority w:val="0"/>
    <w:pPr>
      <w:spacing w:afterLines="25"/>
      <w:ind w:firstLine="200" w:firstLineChars="200"/>
      <w:jc w:val="center"/>
    </w:pPr>
    <w:rPr>
      <w:rFonts w:cs="Times New Roman"/>
      <w:kern w:val="2"/>
      <w:sz w:val="24"/>
      <w:u w:val="single"/>
    </w:rPr>
  </w:style>
  <w:style w:type="character" w:customStyle="1" w:styleId="192">
    <w:name w:val="段内层标 Char"/>
    <w:link w:val="193"/>
    <w:qFormat/>
    <w:uiPriority w:val="0"/>
    <w:rPr>
      <w:rFonts w:ascii="宋体" w:hAnsi="宋体"/>
      <w:b/>
      <w:kern w:val="2"/>
      <w:sz w:val="28"/>
      <w:szCs w:val="28"/>
      <w:shd w:val="clear" w:color="auto" w:fill="FFFFFF"/>
    </w:rPr>
  </w:style>
  <w:style w:type="paragraph" w:customStyle="1" w:styleId="193">
    <w:name w:val="段内层标"/>
    <w:basedOn w:val="194"/>
    <w:link w:val="192"/>
    <w:qFormat/>
    <w:uiPriority w:val="0"/>
    <w:pPr>
      <w:tabs>
        <w:tab w:val="left" w:pos="426"/>
      </w:tabs>
      <w:spacing w:beforeLines="25" w:afterLines="25"/>
      <w:ind w:left="620" w:firstLine="200" w:firstLineChars="200"/>
    </w:pPr>
    <w:rPr>
      <w:rFonts w:ascii="宋体" w:hAnsi="宋体"/>
      <w:b/>
      <w:kern w:val="2"/>
      <w:sz w:val="28"/>
      <w:szCs w:val="28"/>
    </w:rPr>
  </w:style>
  <w:style w:type="paragraph" w:customStyle="1" w:styleId="194">
    <w:name w:val="正文内容"/>
    <w:basedOn w:val="1"/>
    <w:next w:val="25"/>
    <w:link w:val="195"/>
    <w:qFormat/>
    <w:uiPriority w:val="0"/>
    <w:rPr>
      <w:rFonts w:ascii="Times New Roman" w:hAnsi="Times New Roman" w:cs="Times New Roman"/>
      <w:sz w:val="20"/>
    </w:rPr>
  </w:style>
  <w:style w:type="character" w:customStyle="1" w:styleId="195">
    <w:name w:val="正文内容 Char"/>
    <w:link w:val="194"/>
    <w:qFormat/>
    <w:uiPriority w:val="0"/>
    <w:rPr>
      <w:szCs w:val="24"/>
    </w:rPr>
  </w:style>
  <w:style w:type="character" w:customStyle="1" w:styleId="196">
    <w:name w:val="标题3 Char"/>
    <w:link w:val="197"/>
    <w:qFormat/>
    <w:uiPriority w:val="0"/>
    <w:rPr>
      <w:rFonts w:ascii="黑体" w:hAnsi="黑体" w:eastAsia="黑体"/>
      <w:kern w:val="2"/>
      <w:sz w:val="28"/>
      <w:szCs w:val="28"/>
      <w:shd w:val="clear" w:color="auto" w:fill="FFFFFF"/>
    </w:rPr>
  </w:style>
  <w:style w:type="paragraph" w:customStyle="1" w:styleId="197">
    <w:name w:val="标题3"/>
    <w:basedOn w:val="188"/>
    <w:link w:val="196"/>
    <w:qFormat/>
    <w:uiPriority w:val="0"/>
    <w:pPr>
      <w:ind w:left="1822" w:firstLine="0" w:firstLineChars="0"/>
      <w:outlineLvl w:val="2"/>
    </w:pPr>
    <w:rPr>
      <w:rFonts w:ascii="黑体" w:hAnsi="黑体" w:eastAsia="黑体"/>
      <w:sz w:val="28"/>
      <w:szCs w:val="28"/>
    </w:rPr>
  </w:style>
  <w:style w:type="character" w:customStyle="1" w:styleId="198">
    <w:name w:val="Char Char4"/>
    <w:qFormat/>
    <w:uiPriority w:val="0"/>
    <w:rPr>
      <w:rFonts w:eastAsia="宋体"/>
      <w:b/>
      <w:kern w:val="2"/>
      <w:sz w:val="24"/>
      <w:lang w:val="en-US" w:eastAsia="zh-CN" w:bidi="ar-SA"/>
    </w:rPr>
  </w:style>
  <w:style w:type="character" w:customStyle="1" w:styleId="199">
    <w:name w:val="书籍标题1"/>
    <w:qFormat/>
    <w:uiPriority w:val="33"/>
    <w:rPr>
      <w:b/>
      <w:bCs/>
      <w:smallCaps/>
      <w:spacing w:val="5"/>
    </w:rPr>
  </w:style>
  <w:style w:type="character" w:customStyle="1" w:styleId="200">
    <w:name w:val="正文文本缩进 2 Char"/>
    <w:qFormat/>
    <w:uiPriority w:val="0"/>
    <w:rPr>
      <w:rFonts w:ascii="宋体" w:hAnsi="宋体"/>
      <w:kern w:val="2"/>
      <w:sz w:val="21"/>
      <w:szCs w:val="24"/>
      <w:shd w:val="clear" w:color="auto" w:fill="FFFFFF"/>
    </w:rPr>
  </w:style>
  <w:style w:type="character" w:customStyle="1" w:styleId="201">
    <w:name w:val="正文文本 Char"/>
    <w:qFormat/>
    <w:uiPriority w:val="99"/>
    <w:rPr>
      <w:rFonts w:ascii="宋体"/>
      <w:kern w:val="10"/>
      <w:sz w:val="21"/>
    </w:rPr>
  </w:style>
  <w:style w:type="character" w:customStyle="1" w:styleId="202">
    <w:name w:val="批注主题 Char"/>
    <w:qFormat/>
    <w:uiPriority w:val="0"/>
    <w:rPr>
      <w:rFonts w:ascii="宋体" w:hAnsi="宋体" w:cs="宋体"/>
      <w:b/>
      <w:bCs/>
      <w:kern w:val="2"/>
      <w:sz w:val="21"/>
      <w:szCs w:val="24"/>
      <w:shd w:val="clear" w:color="auto" w:fill="FFFFFF"/>
    </w:rPr>
  </w:style>
  <w:style w:type="character" w:customStyle="1" w:styleId="203">
    <w:name w:val="style3"/>
    <w:qFormat/>
    <w:uiPriority w:val="0"/>
  </w:style>
  <w:style w:type="character" w:customStyle="1" w:styleId="204">
    <w:name w:val="font10pt"/>
    <w:qFormat/>
    <w:uiPriority w:val="0"/>
  </w:style>
  <w:style w:type="character" w:customStyle="1" w:styleId="205">
    <w:name w:val="文档结构图 Char"/>
    <w:semiHidden/>
    <w:qFormat/>
    <w:uiPriority w:val="0"/>
    <w:rPr>
      <w:kern w:val="2"/>
      <w:sz w:val="21"/>
      <w:szCs w:val="24"/>
      <w:shd w:val="clear" w:color="auto" w:fill="000080"/>
    </w:rPr>
  </w:style>
  <w:style w:type="character" w:customStyle="1" w:styleId="206">
    <w:name w:val="翟 正文 Char"/>
    <w:link w:val="207"/>
    <w:qFormat/>
    <w:uiPriority w:val="0"/>
    <w:rPr>
      <w:rFonts w:ascii="宋体" w:hAnsi="仿宋"/>
      <w:snapToGrid/>
      <w:color w:val="000000"/>
      <w:sz w:val="28"/>
      <w:szCs w:val="28"/>
      <w:u w:color="000000"/>
    </w:rPr>
  </w:style>
  <w:style w:type="paragraph" w:customStyle="1" w:styleId="207">
    <w:name w:val="翟 正文"/>
    <w:basedOn w:val="1"/>
    <w:link w:val="206"/>
    <w:qFormat/>
    <w:uiPriority w:val="0"/>
    <w:pPr>
      <w:widowControl w:val="0"/>
      <w:shd w:val="clear" w:color="auto" w:fill="auto"/>
      <w:tabs>
        <w:tab w:val="clear" w:pos="426"/>
      </w:tabs>
      <w:adjustRightInd/>
      <w:snapToGrid/>
      <w:spacing w:line="480" w:lineRule="exact"/>
      <w:ind w:firstLine="560" w:firstLineChars="200"/>
    </w:pPr>
    <w:rPr>
      <w:rFonts w:hAnsi="仿宋" w:cs="Times New Roman"/>
      <w:color w:val="000000"/>
      <w:sz w:val="28"/>
      <w:szCs w:val="28"/>
      <w:u w:color="000000"/>
    </w:rPr>
  </w:style>
  <w:style w:type="character" w:customStyle="1" w:styleId="208">
    <w:name w:val="日期 Char1"/>
    <w:semiHidden/>
    <w:qFormat/>
    <w:uiPriority w:val="99"/>
    <w:rPr>
      <w:kern w:val="2"/>
      <w:sz w:val="21"/>
      <w:szCs w:val="24"/>
    </w:rPr>
  </w:style>
  <w:style w:type="character" w:customStyle="1" w:styleId="209">
    <w:name w:val="段内主题 Char"/>
    <w:link w:val="210"/>
    <w:qFormat/>
    <w:uiPriority w:val="0"/>
    <w:rPr>
      <w:rFonts w:ascii="宋体" w:hAnsi="宋体"/>
      <w:b/>
      <w:kern w:val="2"/>
      <w:sz w:val="24"/>
      <w:szCs w:val="24"/>
      <w:shd w:val="clear" w:color="auto" w:fill="FFFFFF"/>
    </w:rPr>
  </w:style>
  <w:style w:type="paragraph" w:customStyle="1" w:styleId="210">
    <w:name w:val="段内主题"/>
    <w:basedOn w:val="1"/>
    <w:link w:val="209"/>
    <w:qFormat/>
    <w:uiPriority w:val="0"/>
    <w:pPr>
      <w:ind w:left="840"/>
    </w:pPr>
    <w:rPr>
      <w:rFonts w:cs="Times New Roman"/>
      <w:b/>
      <w:kern w:val="2"/>
      <w:sz w:val="24"/>
    </w:rPr>
  </w:style>
  <w:style w:type="character" w:customStyle="1" w:styleId="211">
    <w:name w:val="1 Char"/>
    <w:link w:val="212"/>
    <w:qFormat/>
    <w:uiPriority w:val="0"/>
    <w:rPr>
      <w:rFonts w:ascii="宋体" w:hAnsi="宋体" w:cs="宋体"/>
      <w:b/>
      <w:sz w:val="24"/>
      <w:szCs w:val="24"/>
      <w:shd w:val="clear" w:color="auto" w:fill="FFFFFF"/>
    </w:rPr>
  </w:style>
  <w:style w:type="paragraph" w:customStyle="1" w:styleId="212">
    <w:name w:val="1"/>
    <w:basedOn w:val="1"/>
    <w:link w:val="211"/>
    <w:qFormat/>
    <w:uiPriority w:val="0"/>
    <w:pPr>
      <w:tabs>
        <w:tab w:val="clear" w:pos="426"/>
      </w:tabs>
      <w:adjustRightInd/>
      <w:snapToGrid/>
      <w:spacing w:before="280" w:after="290" w:line="377" w:lineRule="auto"/>
      <w:ind w:left="420" w:hanging="420"/>
      <w:jc w:val="left"/>
      <w:outlineLvl w:val="2"/>
    </w:pPr>
    <w:rPr>
      <w:rFonts w:cs="Times New Roman"/>
      <w:b/>
      <w:sz w:val="24"/>
    </w:rPr>
  </w:style>
  <w:style w:type="character" w:customStyle="1" w:styleId="213">
    <w:name w:val="图片 Char"/>
    <w:link w:val="214"/>
    <w:qFormat/>
    <w:uiPriority w:val="0"/>
    <w:rPr>
      <w:rFonts w:ascii="宋体" w:hAnsi="宋体"/>
      <w:kern w:val="2"/>
      <w:sz w:val="24"/>
      <w:szCs w:val="24"/>
    </w:rPr>
  </w:style>
  <w:style w:type="paragraph" w:customStyle="1" w:styleId="214">
    <w:name w:val="图片"/>
    <w:basedOn w:val="1"/>
    <w:link w:val="213"/>
    <w:qFormat/>
    <w:uiPriority w:val="0"/>
    <w:pPr>
      <w:ind w:firstLine="200" w:firstLineChars="200"/>
      <w:jc w:val="center"/>
    </w:pPr>
    <w:rPr>
      <w:rFonts w:cs="Times New Roman"/>
      <w:kern w:val="2"/>
      <w:sz w:val="24"/>
    </w:rPr>
  </w:style>
  <w:style w:type="character" w:customStyle="1" w:styleId="215">
    <w:name w:val="页脚 Char1"/>
    <w:semiHidden/>
    <w:qFormat/>
    <w:uiPriority w:val="99"/>
    <w:rPr>
      <w:kern w:val="2"/>
      <w:sz w:val="18"/>
      <w:szCs w:val="18"/>
    </w:rPr>
  </w:style>
  <w:style w:type="character" w:customStyle="1" w:styleId="216">
    <w:name w:val="四级标题 Char"/>
    <w:link w:val="217"/>
    <w:qFormat/>
    <w:uiPriority w:val="0"/>
    <w:rPr>
      <w:rFonts w:ascii="黑体" w:hAnsi="黑体" w:eastAsia="黑体"/>
      <w:kern w:val="2"/>
      <w:sz w:val="30"/>
      <w:szCs w:val="30"/>
      <w:shd w:val="clear" w:color="auto" w:fill="FFFFFF"/>
    </w:rPr>
  </w:style>
  <w:style w:type="paragraph" w:customStyle="1" w:styleId="217">
    <w:name w:val="四级标题"/>
    <w:basedOn w:val="188"/>
    <w:link w:val="216"/>
    <w:qFormat/>
    <w:uiPriority w:val="0"/>
    <w:pPr>
      <w:spacing w:line="720" w:lineRule="auto"/>
      <w:ind w:firstLine="0" w:firstLineChars="0"/>
      <w:outlineLvl w:val="3"/>
    </w:pPr>
    <w:rPr>
      <w:rFonts w:ascii="黑体" w:hAnsi="黑体" w:eastAsia="黑体"/>
      <w:sz w:val="30"/>
      <w:szCs w:val="30"/>
    </w:rPr>
  </w:style>
  <w:style w:type="character" w:customStyle="1" w:styleId="218">
    <w:name w:val="标题 5 Char"/>
    <w:qFormat/>
    <w:uiPriority w:val="0"/>
    <w:rPr>
      <w:b/>
      <w:kern w:val="2"/>
      <w:sz w:val="24"/>
      <w:shd w:val="clear" w:color="auto" w:fill="FFFFFF"/>
    </w:rPr>
  </w:style>
  <w:style w:type="character" w:customStyle="1" w:styleId="219">
    <w:name w:val="标准正文 Char"/>
    <w:link w:val="220"/>
    <w:qFormat/>
    <w:uiPriority w:val="0"/>
    <w:rPr>
      <w:rFonts w:ascii="宋体" w:hAnsi="宋体" w:cs="宋体"/>
      <w:sz w:val="24"/>
    </w:rPr>
  </w:style>
  <w:style w:type="paragraph" w:customStyle="1" w:styleId="220">
    <w:name w:val="标准正文"/>
    <w:basedOn w:val="33"/>
    <w:link w:val="219"/>
    <w:qFormat/>
    <w:uiPriority w:val="0"/>
    <w:pPr>
      <w:spacing w:before="60" w:after="60"/>
      <w:ind w:firstLine="482" w:firstLineChars="0"/>
      <w:jc w:val="left"/>
    </w:pPr>
    <w:rPr>
      <w:rFonts w:ascii="宋体" w:hAnsi="宋体"/>
      <w:kern w:val="0"/>
      <w:sz w:val="24"/>
      <w:szCs w:val="20"/>
    </w:rPr>
  </w:style>
  <w:style w:type="character" w:customStyle="1" w:styleId="221">
    <w:name w:val="标题 2 Char"/>
    <w:qFormat/>
    <w:uiPriority w:val="0"/>
    <w:rPr>
      <w:rFonts w:ascii="宋体" w:hAnsi="宋体"/>
      <w:b/>
      <w:sz w:val="24"/>
      <w:shd w:val="clear" w:color="auto" w:fill="FFFFFF"/>
    </w:rPr>
  </w:style>
  <w:style w:type="character" w:customStyle="1" w:styleId="222">
    <w:name w:val="正文（缩进） Char"/>
    <w:link w:val="223"/>
    <w:qFormat/>
    <w:uiPriority w:val="0"/>
    <w:rPr>
      <w:sz w:val="24"/>
      <w:szCs w:val="24"/>
    </w:rPr>
  </w:style>
  <w:style w:type="paragraph" w:customStyle="1" w:styleId="223">
    <w:name w:val="正文（缩进）"/>
    <w:basedOn w:val="1"/>
    <w:link w:val="222"/>
    <w:qFormat/>
    <w:uiPriority w:val="0"/>
    <w:pPr>
      <w:spacing w:beforeLines="50" w:afterLines="50"/>
      <w:ind w:firstLine="480" w:firstLineChars="200"/>
    </w:pPr>
    <w:rPr>
      <w:rFonts w:ascii="Times New Roman" w:hAnsi="Times New Roman" w:cs="Times New Roman"/>
      <w:sz w:val="24"/>
    </w:rPr>
  </w:style>
  <w:style w:type="character" w:customStyle="1" w:styleId="224">
    <w:name w:val="ss1"/>
    <w:semiHidden/>
    <w:qFormat/>
    <w:uiPriority w:val="0"/>
    <w:rPr>
      <w:rFonts w:hint="default" w:ascii="ˎ̥" w:hAnsi="ˎ̥"/>
      <w:color w:val="000000"/>
      <w:sz w:val="18"/>
      <w:szCs w:val="18"/>
      <w:u w:val="none"/>
    </w:rPr>
  </w:style>
  <w:style w:type="character" w:customStyle="1" w:styleId="225">
    <w:name w:val="二级标题 Char"/>
    <w:link w:val="226"/>
    <w:qFormat/>
    <w:uiPriority w:val="0"/>
    <w:rPr>
      <w:rFonts w:ascii="黑体" w:hAnsi="黑体" w:eastAsia="黑体"/>
      <w:kern w:val="2"/>
      <w:sz w:val="36"/>
      <w:szCs w:val="36"/>
      <w:shd w:val="clear" w:color="auto" w:fill="FFFFFF"/>
    </w:rPr>
  </w:style>
  <w:style w:type="paragraph" w:customStyle="1" w:styleId="226">
    <w:name w:val="二级标题"/>
    <w:basedOn w:val="188"/>
    <w:link w:val="225"/>
    <w:qFormat/>
    <w:uiPriority w:val="0"/>
    <w:pPr>
      <w:spacing w:line="720" w:lineRule="auto"/>
      <w:ind w:firstLine="0" w:firstLineChars="0"/>
      <w:outlineLvl w:val="1"/>
    </w:pPr>
    <w:rPr>
      <w:rFonts w:ascii="黑体" w:hAnsi="黑体" w:eastAsia="黑体"/>
      <w:sz w:val="36"/>
      <w:szCs w:val="36"/>
    </w:rPr>
  </w:style>
  <w:style w:type="character" w:customStyle="1" w:styleId="227">
    <w:name w:val="标题 6 Char"/>
    <w:qFormat/>
    <w:uiPriority w:val="0"/>
    <w:rPr>
      <w:rFonts w:ascii="Arial" w:hAnsi="Arial" w:eastAsia="黑体"/>
      <w:b/>
      <w:kern w:val="2"/>
      <w:sz w:val="24"/>
      <w:shd w:val="clear" w:color="auto" w:fill="FFFFFF"/>
    </w:rPr>
  </w:style>
  <w:style w:type="character" w:customStyle="1" w:styleId="228">
    <w:name w:val="层标 Char"/>
    <w:link w:val="229"/>
    <w:qFormat/>
    <w:uiPriority w:val="0"/>
    <w:rPr>
      <w:rFonts w:ascii="宋体" w:hAnsi="宋体"/>
      <w:b/>
      <w:kern w:val="2"/>
      <w:sz w:val="28"/>
      <w:szCs w:val="28"/>
      <w:shd w:val="clear" w:color="auto" w:fill="FFFFFF"/>
    </w:rPr>
  </w:style>
  <w:style w:type="paragraph" w:customStyle="1" w:styleId="229">
    <w:name w:val="层标"/>
    <w:basedOn w:val="194"/>
    <w:link w:val="228"/>
    <w:qFormat/>
    <w:uiPriority w:val="0"/>
    <w:pPr>
      <w:spacing w:beforeLines="25" w:afterLines="25"/>
      <w:ind w:left="980"/>
    </w:pPr>
    <w:rPr>
      <w:rFonts w:ascii="宋体" w:hAnsi="宋体"/>
      <w:b/>
      <w:kern w:val="2"/>
      <w:sz w:val="28"/>
      <w:szCs w:val="28"/>
    </w:rPr>
  </w:style>
  <w:style w:type="character" w:customStyle="1" w:styleId="230">
    <w:name w:val="正文文本缩进 Char1"/>
    <w:semiHidden/>
    <w:qFormat/>
    <w:uiPriority w:val="99"/>
    <w:rPr>
      <w:kern w:val="2"/>
      <w:sz w:val="21"/>
      <w:szCs w:val="24"/>
    </w:rPr>
  </w:style>
  <w:style w:type="character" w:customStyle="1" w:styleId="231">
    <w:name w:val="五级标题 Char"/>
    <w:link w:val="232"/>
    <w:qFormat/>
    <w:uiPriority w:val="0"/>
    <w:rPr>
      <w:rFonts w:ascii="黑体" w:hAnsi="黑体" w:eastAsia="黑体"/>
      <w:kern w:val="2"/>
      <w:sz w:val="28"/>
      <w:szCs w:val="28"/>
      <w:shd w:val="clear" w:color="auto" w:fill="FFFFFF"/>
    </w:rPr>
  </w:style>
  <w:style w:type="paragraph" w:customStyle="1" w:styleId="232">
    <w:name w:val="五级标题"/>
    <w:basedOn w:val="188"/>
    <w:link w:val="231"/>
    <w:qFormat/>
    <w:uiPriority w:val="0"/>
    <w:pPr>
      <w:spacing w:line="720" w:lineRule="auto"/>
      <w:ind w:firstLine="0" w:firstLineChars="0"/>
      <w:outlineLvl w:val="4"/>
    </w:pPr>
    <w:rPr>
      <w:rFonts w:ascii="黑体" w:hAnsi="黑体" w:eastAsia="黑体"/>
      <w:sz w:val="28"/>
      <w:szCs w:val="28"/>
    </w:rPr>
  </w:style>
  <w:style w:type="character" w:customStyle="1" w:styleId="233">
    <w:name w:val="￥正文 Char"/>
    <w:link w:val="234"/>
    <w:qFormat/>
    <w:uiPriority w:val="0"/>
    <w:rPr>
      <w:rFonts w:ascii="Calibri" w:hAnsi="Calibri"/>
      <w:kern w:val="2"/>
      <w:sz w:val="24"/>
    </w:rPr>
  </w:style>
  <w:style w:type="paragraph" w:customStyle="1" w:styleId="234">
    <w:name w:val="￥正文"/>
    <w:basedOn w:val="1"/>
    <w:link w:val="233"/>
    <w:qFormat/>
    <w:uiPriority w:val="0"/>
    <w:pPr>
      <w:ind w:firstLine="200" w:firstLineChars="200"/>
    </w:pPr>
    <w:rPr>
      <w:rFonts w:ascii="Calibri" w:hAnsi="Calibri" w:cs="Times New Roman"/>
      <w:kern w:val="2"/>
      <w:sz w:val="24"/>
      <w:szCs w:val="20"/>
    </w:rPr>
  </w:style>
  <w:style w:type="character" w:customStyle="1" w:styleId="235">
    <w:name w:val="文档结构图 Char1"/>
    <w:semiHidden/>
    <w:qFormat/>
    <w:uiPriority w:val="99"/>
    <w:rPr>
      <w:rFonts w:ascii="宋体"/>
      <w:kern w:val="2"/>
      <w:sz w:val="18"/>
      <w:szCs w:val="18"/>
    </w:rPr>
  </w:style>
  <w:style w:type="character" w:customStyle="1" w:styleId="236">
    <w:name w:val="ggwenhao"/>
    <w:semiHidden/>
    <w:qFormat/>
    <w:uiPriority w:val="0"/>
  </w:style>
  <w:style w:type="character" w:customStyle="1" w:styleId="237">
    <w:name w:val="未处理的提及1"/>
    <w:unhideWhenUsed/>
    <w:qFormat/>
    <w:uiPriority w:val="99"/>
    <w:rPr>
      <w:color w:val="605E5C"/>
      <w:shd w:val="clear" w:color="auto" w:fill="E1DFDD"/>
    </w:rPr>
  </w:style>
  <w:style w:type="character" w:customStyle="1" w:styleId="238">
    <w:name w:val="一级标题 Char"/>
    <w:link w:val="239"/>
    <w:qFormat/>
    <w:uiPriority w:val="0"/>
    <w:rPr>
      <w:rFonts w:ascii="黑体" w:hAnsi="黑体" w:eastAsia="黑体"/>
      <w:kern w:val="2"/>
      <w:sz w:val="44"/>
      <w:szCs w:val="44"/>
      <w:shd w:val="clear" w:color="auto" w:fill="FFFFFF"/>
    </w:rPr>
  </w:style>
  <w:style w:type="paragraph" w:customStyle="1" w:styleId="239">
    <w:name w:val="一级标题"/>
    <w:basedOn w:val="188"/>
    <w:link w:val="238"/>
    <w:qFormat/>
    <w:uiPriority w:val="0"/>
    <w:pPr>
      <w:tabs>
        <w:tab w:val="left" w:pos="340"/>
      </w:tabs>
      <w:spacing w:line="720" w:lineRule="auto"/>
      <w:ind w:firstLine="0" w:firstLineChars="0"/>
      <w:jc w:val="center"/>
      <w:outlineLvl w:val="0"/>
    </w:pPr>
    <w:rPr>
      <w:rFonts w:ascii="黑体" w:hAnsi="黑体" w:eastAsia="黑体"/>
      <w:sz w:val="44"/>
      <w:szCs w:val="44"/>
    </w:rPr>
  </w:style>
  <w:style w:type="character" w:customStyle="1" w:styleId="240">
    <w:name w:val="标题 7 Char"/>
    <w:qFormat/>
    <w:uiPriority w:val="0"/>
    <w:rPr>
      <w:b/>
      <w:kern w:val="2"/>
      <w:sz w:val="24"/>
      <w:shd w:val="clear" w:color="auto" w:fill="FFFFFF"/>
    </w:rPr>
  </w:style>
  <w:style w:type="character" w:customStyle="1" w:styleId="241">
    <w:name w:val="段落强调 Char"/>
    <w:link w:val="242"/>
    <w:qFormat/>
    <w:uiPriority w:val="0"/>
    <w:rPr>
      <w:b/>
      <w:kern w:val="2"/>
      <w:sz w:val="24"/>
      <w:szCs w:val="24"/>
      <w:shd w:val="clear" w:color="auto" w:fill="FFFFFF"/>
    </w:rPr>
  </w:style>
  <w:style w:type="paragraph" w:customStyle="1" w:styleId="242">
    <w:name w:val="段落强调"/>
    <w:basedOn w:val="1"/>
    <w:link w:val="241"/>
    <w:qFormat/>
    <w:uiPriority w:val="0"/>
    <w:pPr>
      <w:ind w:firstLine="420"/>
    </w:pPr>
    <w:rPr>
      <w:rFonts w:ascii="Times New Roman" w:hAnsi="Times New Roman" w:cs="Times New Roman"/>
      <w:b/>
      <w:kern w:val="2"/>
      <w:sz w:val="24"/>
    </w:rPr>
  </w:style>
  <w:style w:type="character" w:customStyle="1" w:styleId="243">
    <w:name w:val="pan2 Char"/>
    <w:link w:val="244"/>
    <w:qFormat/>
    <w:uiPriority w:val="0"/>
    <w:rPr>
      <w:rFonts w:ascii="黑体" w:hAnsi="黑体" w:eastAsia="黑体"/>
      <w:kern w:val="2"/>
      <w:sz w:val="30"/>
      <w:szCs w:val="30"/>
      <w:shd w:val="clear" w:color="auto" w:fill="FFFFFF"/>
    </w:rPr>
  </w:style>
  <w:style w:type="paragraph" w:customStyle="1" w:styleId="244">
    <w:name w:val="pan2"/>
    <w:basedOn w:val="188"/>
    <w:link w:val="243"/>
    <w:qFormat/>
    <w:uiPriority w:val="0"/>
    <w:pPr>
      <w:tabs>
        <w:tab w:val="left" w:pos="840"/>
      </w:tabs>
      <w:ind w:left="840" w:hanging="420" w:firstLineChars="0"/>
      <w:outlineLvl w:val="1"/>
    </w:pPr>
    <w:rPr>
      <w:rFonts w:ascii="黑体" w:hAnsi="黑体" w:eastAsia="黑体"/>
      <w:sz w:val="30"/>
      <w:szCs w:val="30"/>
    </w:rPr>
  </w:style>
  <w:style w:type="character" w:customStyle="1" w:styleId="245">
    <w:name w:val="明显参考1"/>
    <w:qFormat/>
    <w:uiPriority w:val="32"/>
    <w:rPr>
      <w:rFonts w:eastAsia="宋体"/>
      <w:bCs/>
      <w:smallCaps/>
      <w:color w:val="000000"/>
      <w:spacing w:val="5"/>
      <w:sz w:val="24"/>
      <w:u w:val="single"/>
    </w:rPr>
  </w:style>
  <w:style w:type="character" w:customStyle="1" w:styleId="246">
    <w:name w:val="引用 字符"/>
    <w:link w:val="247"/>
    <w:qFormat/>
    <w:uiPriority w:val="29"/>
    <w:rPr>
      <w:iCs/>
      <w:color w:val="000000"/>
      <w:kern w:val="2"/>
      <w:sz w:val="24"/>
      <w:szCs w:val="24"/>
    </w:rPr>
  </w:style>
  <w:style w:type="paragraph" w:styleId="247">
    <w:name w:val="Quote"/>
    <w:basedOn w:val="1"/>
    <w:next w:val="1"/>
    <w:link w:val="246"/>
    <w:qFormat/>
    <w:uiPriority w:val="29"/>
    <w:pPr>
      <w:jc w:val="center"/>
    </w:pPr>
    <w:rPr>
      <w:rFonts w:ascii="Times New Roman" w:hAnsi="Times New Roman" w:cs="Times New Roman"/>
      <w:iCs/>
      <w:color w:val="000000"/>
      <w:kern w:val="2"/>
      <w:sz w:val="24"/>
    </w:rPr>
  </w:style>
  <w:style w:type="character" w:customStyle="1" w:styleId="248">
    <w:name w:val="模板正文 Char"/>
    <w:link w:val="249"/>
    <w:qFormat/>
    <w:locked/>
    <w:uiPriority w:val="0"/>
    <w:rPr>
      <w:rFonts w:eastAsia="仿宋_GB2312"/>
      <w:sz w:val="28"/>
      <w:szCs w:val="21"/>
    </w:rPr>
  </w:style>
  <w:style w:type="paragraph" w:customStyle="1" w:styleId="249">
    <w:name w:val="模板正文"/>
    <w:basedOn w:val="1"/>
    <w:link w:val="248"/>
    <w:qFormat/>
    <w:uiPriority w:val="0"/>
    <w:pPr>
      <w:widowControl w:val="0"/>
      <w:shd w:val="clear" w:color="auto" w:fill="auto"/>
      <w:tabs>
        <w:tab w:val="clear" w:pos="426"/>
      </w:tabs>
      <w:wordWrap w:val="0"/>
      <w:adjustRightInd/>
      <w:snapToGrid/>
      <w:spacing w:beforeLines="50"/>
      <w:ind w:firstLine="200" w:firstLineChars="200"/>
    </w:pPr>
    <w:rPr>
      <w:rFonts w:ascii="Times New Roman" w:hAnsi="Times New Roman" w:eastAsia="仿宋_GB2312" w:cs="Times New Roman"/>
      <w:sz w:val="28"/>
      <w:szCs w:val="21"/>
    </w:rPr>
  </w:style>
  <w:style w:type="character" w:customStyle="1" w:styleId="250">
    <w:name w:val="三级标题 Char"/>
    <w:link w:val="251"/>
    <w:qFormat/>
    <w:uiPriority w:val="0"/>
    <w:rPr>
      <w:rFonts w:ascii="黑体" w:hAnsi="黑体" w:eastAsia="黑体"/>
      <w:kern w:val="2"/>
      <w:sz w:val="32"/>
      <w:szCs w:val="32"/>
      <w:shd w:val="clear" w:color="auto" w:fill="FFFFFF"/>
    </w:rPr>
  </w:style>
  <w:style w:type="paragraph" w:customStyle="1" w:styleId="251">
    <w:name w:val="三级标题"/>
    <w:basedOn w:val="188"/>
    <w:link w:val="250"/>
    <w:qFormat/>
    <w:uiPriority w:val="0"/>
    <w:pPr>
      <w:spacing w:line="720" w:lineRule="auto"/>
      <w:ind w:firstLine="0" w:firstLineChars="0"/>
      <w:outlineLvl w:val="2"/>
    </w:pPr>
    <w:rPr>
      <w:rFonts w:ascii="黑体" w:hAnsi="黑体" w:eastAsia="黑体"/>
      <w:sz w:val="32"/>
      <w:szCs w:val="32"/>
    </w:rPr>
  </w:style>
  <w:style w:type="character" w:customStyle="1" w:styleId="252">
    <w:name w:val="正文文本缩进 Char"/>
    <w:qFormat/>
    <w:uiPriority w:val="0"/>
    <w:rPr>
      <w:kern w:val="2"/>
      <w:sz w:val="21"/>
      <w:szCs w:val="24"/>
      <w:shd w:val="clear" w:color="auto" w:fill="FFFFFF"/>
    </w:rPr>
  </w:style>
  <w:style w:type="character" w:customStyle="1" w:styleId="253">
    <w:name w:val="页眉 Char"/>
    <w:qFormat/>
    <w:uiPriority w:val="99"/>
    <w:rPr>
      <w:kern w:val="2"/>
      <w:sz w:val="18"/>
      <w:szCs w:val="18"/>
      <w:shd w:val="clear" w:color="auto" w:fill="FFFFFF"/>
    </w:rPr>
  </w:style>
  <w:style w:type="character" w:customStyle="1" w:styleId="254">
    <w:name w:val="页脚 Char"/>
    <w:qFormat/>
    <w:uiPriority w:val="99"/>
    <w:rPr>
      <w:kern w:val="2"/>
      <w:sz w:val="18"/>
      <w:szCs w:val="18"/>
      <w:shd w:val="clear" w:color="auto" w:fill="FFFFFF"/>
    </w:rPr>
  </w:style>
  <w:style w:type="character" w:customStyle="1" w:styleId="255">
    <w:name w:val="批注文字 Char1"/>
    <w:qFormat/>
    <w:uiPriority w:val="0"/>
    <w:rPr>
      <w:rFonts w:ascii="宋体"/>
      <w:sz w:val="34"/>
      <w:shd w:val="clear" w:color="auto" w:fill="FFFFFF"/>
    </w:rPr>
  </w:style>
  <w:style w:type="character" w:customStyle="1" w:styleId="256">
    <w:name w:val="HTML 预设格式 Char"/>
    <w:qFormat/>
    <w:uiPriority w:val="0"/>
    <w:rPr>
      <w:rFonts w:ascii="Arial Unicode MS" w:hAnsi="Arial Unicode MS" w:eastAsia="Arial Unicode MS"/>
      <w:color w:val="000000"/>
      <w:shd w:val="clear" w:color="auto" w:fill="FFFFFF"/>
    </w:rPr>
  </w:style>
  <w:style w:type="character" w:customStyle="1" w:styleId="257">
    <w:name w:val="标题 1 字符1"/>
    <w:qFormat/>
    <w:uiPriority w:val="0"/>
    <w:rPr>
      <w:rFonts w:ascii="Times New Roman" w:hAnsi="Times New Roman" w:eastAsia="宋体" w:cs="Times New Roman"/>
      <w:b/>
      <w:kern w:val="44"/>
      <w:sz w:val="44"/>
      <w:szCs w:val="20"/>
    </w:rPr>
  </w:style>
  <w:style w:type="character" w:customStyle="1" w:styleId="258">
    <w:name w:val="正文标题 Char"/>
    <w:link w:val="259"/>
    <w:qFormat/>
    <w:uiPriority w:val="0"/>
    <w:rPr>
      <w:rFonts w:ascii="Calibri" w:hAnsi="Calibri"/>
      <w:b/>
      <w:kern w:val="2"/>
      <w:sz w:val="28"/>
      <w:szCs w:val="28"/>
      <w:shd w:val="clear" w:color="auto" w:fill="FFFFFF"/>
    </w:rPr>
  </w:style>
  <w:style w:type="paragraph" w:customStyle="1" w:styleId="259">
    <w:name w:val="正文标题"/>
    <w:basedOn w:val="1"/>
    <w:link w:val="258"/>
    <w:qFormat/>
    <w:uiPriority w:val="0"/>
    <w:pPr>
      <w:ind w:left="982" w:firstLine="200" w:firstLineChars="200"/>
    </w:pPr>
    <w:rPr>
      <w:rFonts w:ascii="Calibri" w:hAnsi="Calibri" w:cs="Times New Roman"/>
      <w:b/>
      <w:kern w:val="2"/>
      <w:sz w:val="28"/>
      <w:szCs w:val="28"/>
    </w:rPr>
  </w:style>
  <w:style w:type="character" w:customStyle="1" w:styleId="260">
    <w:name w:val="图片注释新 Char"/>
    <w:link w:val="261"/>
    <w:qFormat/>
    <w:uiPriority w:val="0"/>
    <w:rPr>
      <w:rFonts w:ascii="宋体" w:hAnsi="宋体"/>
      <w:kern w:val="2"/>
      <w:sz w:val="24"/>
      <w:szCs w:val="24"/>
      <w:u w:val="single"/>
    </w:rPr>
  </w:style>
  <w:style w:type="paragraph" w:customStyle="1" w:styleId="261">
    <w:name w:val="图片注释新"/>
    <w:basedOn w:val="191"/>
    <w:link w:val="260"/>
    <w:qFormat/>
    <w:uiPriority w:val="0"/>
    <w:pPr>
      <w:spacing w:after="81"/>
      <w:ind w:firstLine="0" w:firstLineChars="0"/>
    </w:pPr>
  </w:style>
  <w:style w:type="character" w:customStyle="1" w:styleId="262">
    <w:name w:val="副标题 Char"/>
    <w:qFormat/>
    <w:uiPriority w:val="0"/>
    <w:rPr>
      <w:rFonts w:ascii="Cambria" w:hAnsi="Cambria"/>
      <w:b/>
      <w:bCs/>
      <w:kern w:val="28"/>
      <w:sz w:val="28"/>
      <w:szCs w:val="32"/>
      <w:shd w:val="clear" w:color="auto" w:fill="FFFFFF"/>
    </w:rPr>
  </w:style>
  <w:style w:type="character" w:customStyle="1" w:styleId="263">
    <w:name w:val="正文文本缩进 3 Char1"/>
    <w:semiHidden/>
    <w:qFormat/>
    <w:uiPriority w:val="99"/>
    <w:rPr>
      <w:kern w:val="2"/>
      <w:sz w:val="16"/>
      <w:szCs w:val="16"/>
    </w:rPr>
  </w:style>
  <w:style w:type="character" w:customStyle="1" w:styleId="264">
    <w:name w:val="纯文本 Char"/>
    <w:qFormat/>
    <w:uiPriority w:val="0"/>
    <w:rPr>
      <w:rFonts w:ascii="宋体" w:hAnsi="Courier New"/>
      <w:kern w:val="2"/>
      <w:sz w:val="21"/>
      <w:shd w:val="clear" w:color="auto" w:fill="FFFFFF"/>
    </w:rPr>
  </w:style>
  <w:style w:type="character" w:customStyle="1" w:styleId="265">
    <w:name w:val="标题 4 Char"/>
    <w:qFormat/>
    <w:uiPriority w:val="0"/>
    <w:rPr>
      <w:rFonts w:ascii="Arial" w:hAnsi="Arial" w:eastAsia="黑体"/>
      <w:b/>
      <w:bCs/>
      <w:kern w:val="2"/>
      <w:sz w:val="28"/>
      <w:szCs w:val="28"/>
      <w:shd w:val="clear" w:color="auto" w:fill="FFFFFF"/>
    </w:rPr>
  </w:style>
  <w:style w:type="character" w:customStyle="1" w:styleId="266">
    <w:name w:val="标题 8 Char"/>
    <w:qFormat/>
    <w:uiPriority w:val="0"/>
    <w:rPr>
      <w:rFonts w:ascii="Arial" w:hAnsi="Arial" w:eastAsia="黑体"/>
      <w:kern w:val="2"/>
      <w:sz w:val="24"/>
      <w:shd w:val="clear" w:color="auto" w:fill="FFFFFF"/>
    </w:rPr>
  </w:style>
  <w:style w:type="character" w:customStyle="1" w:styleId="267">
    <w:name w:val="图标题 Char"/>
    <w:link w:val="268"/>
    <w:qFormat/>
    <w:uiPriority w:val="0"/>
    <w:rPr>
      <w:rFonts w:ascii="宋体" w:hAnsi="宋体"/>
      <w:kern w:val="2"/>
      <w:sz w:val="21"/>
      <w:szCs w:val="24"/>
    </w:rPr>
  </w:style>
  <w:style w:type="paragraph" w:customStyle="1" w:styleId="268">
    <w:name w:val="图标题"/>
    <w:basedOn w:val="1"/>
    <w:link w:val="267"/>
    <w:qFormat/>
    <w:uiPriority w:val="0"/>
    <w:pPr>
      <w:jc w:val="center"/>
    </w:pPr>
    <w:rPr>
      <w:rFonts w:cs="Times New Roman"/>
      <w:kern w:val="2"/>
    </w:rPr>
  </w:style>
  <w:style w:type="character" w:customStyle="1" w:styleId="269">
    <w:name w:val="批注文字 Char"/>
    <w:qFormat/>
    <w:uiPriority w:val="0"/>
    <w:rPr>
      <w:rFonts w:ascii="宋体" w:hAnsi="宋体" w:cs="宋体"/>
      <w:sz w:val="21"/>
      <w:szCs w:val="24"/>
      <w:shd w:val="clear" w:color="auto" w:fill="FFFFFF"/>
    </w:rPr>
  </w:style>
  <w:style w:type="character" w:customStyle="1" w:styleId="270">
    <w:name w:val="标题 3 Char1"/>
    <w:qFormat/>
    <w:uiPriority w:val="0"/>
    <w:rPr>
      <w:rFonts w:ascii="宋体" w:hAnsi="宋体"/>
      <w:b/>
      <w:bCs/>
      <w:kern w:val="2"/>
      <w:sz w:val="24"/>
      <w:szCs w:val="32"/>
      <w:shd w:val="clear" w:color="auto" w:fill="FFFFFF"/>
    </w:rPr>
  </w:style>
  <w:style w:type="character" w:customStyle="1" w:styleId="271">
    <w:name w:val="日期 Char"/>
    <w:qFormat/>
    <w:uiPriority w:val="0"/>
    <w:rPr>
      <w:rFonts w:ascii="宋体" w:hAnsi="Courier New"/>
      <w:kern w:val="2"/>
      <w:sz w:val="32"/>
      <w:shd w:val="clear" w:color="auto" w:fill="FFFFFF"/>
    </w:rPr>
  </w:style>
  <w:style w:type="character" w:customStyle="1" w:styleId="272">
    <w:name w:val="普通文字1 Char Char"/>
    <w:qFormat/>
    <w:uiPriority w:val="0"/>
    <w:rPr>
      <w:rFonts w:ascii="宋体" w:hAnsi="Courier New" w:eastAsia="宋体" w:cs="Courier New"/>
      <w:kern w:val="2"/>
      <w:sz w:val="21"/>
      <w:szCs w:val="21"/>
      <w:lang w:val="en-US" w:eastAsia="zh-CN" w:bidi="ar-SA"/>
    </w:rPr>
  </w:style>
  <w:style w:type="character" w:customStyle="1" w:styleId="273">
    <w:name w:val="正文文本缩进 3 Char"/>
    <w:qFormat/>
    <w:uiPriority w:val="0"/>
    <w:rPr>
      <w:rFonts w:ascii="宋体"/>
      <w:b/>
      <w:bCs/>
      <w:kern w:val="2"/>
      <w:sz w:val="24"/>
      <w:szCs w:val="24"/>
      <w:shd w:val="clear" w:color="auto" w:fill="FFFFFF"/>
    </w:rPr>
  </w:style>
  <w:style w:type="character" w:customStyle="1" w:styleId="274">
    <w:name w:val="副标题 Char1"/>
    <w:qFormat/>
    <w:uiPriority w:val="11"/>
    <w:rPr>
      <w:rFonts w:ascii="Cambria" w:hAnsi="Cambria" w:cs="Times New Roman"/>
      <w:b/>
      <w:bCs/>
      <w:kern w:val="28"/>
      <w:sz w:val="32"/>
      <w:szCs w:val="32"/>
    </w:rPr>
  </w:style>
  <w:style w:type="character" w:customStyle="1" w:styleId="275">
    <w:name w:val="标题 9 Char"/>
    <w:qFormat/>
    <w:uiPriority w:val="0"/>
    <w:rPr>
      <w:rFonts w:ascii="Arial" w:hAnsi="Arial" w:eastAsia="黑体"/>
      <w:kern w:val="2"/>
      <w:sz w:val="21"/>
      <w:shd w:val="clear" w:color="auto" w:fill="FFFFFF"/>
    </w:rPr>
  </w:style>
  <w:style w:type="character" w:customStyle="1" w:styleId="276">
    <w:name w:val="书籍标题11"/>
    <w:qFormat/>
    <w:uiPriority w:val="33"/>
    <w:rPr>
      <w:b/>
      <w:bCs/>
      <w:smallCaps/>
      <w:spacing w:val="5"/>
    </w:rPr>
  </w:style>
  <w:style w:type="character" w:customStyle="1" w:styleId="277">
    <w:name w:val="正文文本 2 Char"/>
    <w:qFormat/>
    <w:uiPriority w:val="0"/>
    <w:rPr>
      <w:kern w:val="2"/>
      <w:sz w:val="24"/>
      <w:szCs w:val="24"/>
      <w:shd w:val="clear" w:color="auto" w:fill="FFFFFF"/>
    </w:rPr>
  </w:style>
  <w:style w:type="character" w:customStyle="1" w:styleId="278">
    <w:name w:val="标题 Char"/>
    <w:qFormat/>
    <w:uiPriority w:val="0"/>
    <w:rPr>
      <w:rFonts w:ascii="Arial" w:hAnsi="Arial"/>
      <w:b/>
      <w:bCs/>
      <w:kern w:val="2"/>
      <w:sz w:val="36"/>
      <w:szCs w:val="32"/>
      <w:shd w:val="clear" w:color="auto" w:fill="FFFFFF"/>
    </w:rPr>
  </w:style>
  <w:style w:type="character" w:customStyle="1" w:styleId="279">
    <w:name w:val="apple-converted-space"/>
    <w:qFormat/>
    <w:uiPriority w:val="0"/>
  </w:style>
  <w:style w:type="character" w:customStyle="1" w:styleId="280">
    <w:name w:val="unnamed211"/>
    <w:semiHidden/>
    <w:qFormat/>
    <w:uiPriority w:val="0"/>
    <w:rPr>
      <w:sz w:val="23"/>
      <w:szCs w:val="23"/>
    </w:rPr>
  </w:style>
  <w:style w:type="character" w:customStyle="1" w:styleId="281">
    <w:name w:val="pan4 Char"/>
    <w:link w:val="282"/>
    <w:qFormat/>
    <w:uiPriority w:val="0"/>
    <w:rPr>
      <w:rFonts w:ascii="黑体" w:hAnsi="黑体" w:eastAsia="黑体"/>
      <w:kern w:val="2"/>
      <w:sz w:val="28"/>
      <w:szCs w:val="28"/>
      <w:shd w:val="clear" w:color="auto" w:fill="FFFFFF"/>
    </w:rPr>
  </w:style>
  <w:style w:type="paragraph" w:customStyle="1" w:styleId="282">
    <w:name w:val="pan4"/>
    <w:basedOn w:val="188"/>
    <w:link w:val="281"/>
    <w:qFormat/>
    <w:uiPriority w:val="0"/>
    <w:pPr>
      <w:tabs>
        <w:tab w:val="left" w:pos="1680"/>
      </w:tabs>
      <w:ind w:left="1680" w:hanging="420" w:firstLineChars="0"/>
      <w:outlineLvl w:val="3"/>
    </w:pPr>
    <w:rPr>
      <w:rFonts w:ascii="黑体" w:hAnsi="黑体" w:eastAsia="黑体"/>
      <w:sz w:val="28"/>
      <w:szCs w:val="28"/>
    </w:rPr>
  </w:style>
  <w:style w:type="character" w:customStyle="1" w:styleId="283">
    <w:name w:val="138v1"/>
    <w:qFormat/>
    <w:uiPriority w:val="0"/>
  </w:style>
  <w:style w:type="character" w:customStyle="1" w:styleId="284">
    <w:name w:val="批注框文本 Char"/>
    <w:semiHidden/>
    <w:qFormat/>
    <w:uiPriority w:val="0"/>
    <w:rPr>
      <w:kern w:val="2"/>
      <w:sz w:val="18"/>
      <w:szCs w:val="18"/>
      <w:shd w:val="clear" w:color="auto" w:fill="FFFFFF"/>
    </w:rPr>
  </w:style>
  <w:style w:type="character" w:customStyle="1" w:styleId="285">
    <w:name w:val="纯文本 Char1"/>
    <w:qFormat/>
    <w:uiPriority w:val="0"/>
    <w:rPr>
      <w:rFonts w:ascii="宋体" w:hAnsi="Courier New" w:cs="Courier New"/>
      <w:kern w:val="2"/>
      <w:sz w:val="21"/>
      <w:szCs w:val="21"/>
    </w:rPr>
  </w:style>
  <w:style w:type="character" w:customStyle="1" w:styleId="286">
    <w:name w:val="pan5 Char"/>
    <w:link w:val="287"/>
    <w:qFormat/>
    <w:uiPriority w:val="0"/>
    <w:rPr>
      <w:rFonts w:ascii="黑体" w:hAnsi="黑体" w:eastAsia="黑体"/>
      <w:kern w:val="2"/>
      <w:sz w:val="24"/>
      <w:szCs w:val="24"/>
      <w:shd w:val="clear" w:color="auto" w:fill="FFFFFF"/>
    </w:rPr>
  </w:style>
  <w:style w:type="paragraph" w:customStyle="1" w:styleId="287">
    <w:name w:val="pan5"/>
    <w:basedOn w:val="188"/>
    <w:link w:val="286"/>
    <w:qFormat/>
    <w:uiPriority w:val="0"/>
    <w:pPr>
      <w:tabs>
        <w:tab w:val="left" w:pos="1008"/>
      </w:tabs>
      <w:ind w:left="1008" w:hanging="1008" w:firstLineChars="0"/>
      <w:outlineLvl w:val="4"/>
    </w:pPr>
    <w:rPr>
      <w:rFonts w:ascii="黑体" w:hAnsi="黑体" w:eastAsia="黑体"/>
      <w:sz w:val="24"/>
    </w:rPr>
  </w:style>
  <w:style w:type="character" w:customStyle="1" w:styleId="288">
    <w:name w:val="正文文本 3 Char"/>
    <w:qFormat/>
    <w:uiPriority w:val="0"/>
    <w:rPr>
      <w:kern w:val="2"/>
      <w:sz w:val="16"/>
      <w:szCs w:val="16"/>
      <w:shd w:val="clear" w:color="auto" w:fill="FFFFFF"/>
    </w:rPr>
  </w:style>
  <w:style w:type="character" w:customStyle="1" w:styleId="289">
    <w:name w:val="引用 Char"/>
    <w:qFormat/>
    <w:uiPriority w:val="29"/>
    <w:rPr>
      <w:iCs/>
      <w:color w:val="000000"/>
      <w:kern w:val="2"/>
      <w:sz w:val="24"/>
      <w:szCs w:val="24"/>
      <w:shd w:val="clear" w:color="auto" w:fill="FFFFFF"/>
    </w:rPr>
  </w:style>
  <w:style w:type="character" w:customStyle="1" w:styleId="290">
    <w:name w:val="Default Char"/>
    <w:link w:val="291"/>
    <w:qFormat/>
    <w:uiPriority w:val="0"/>
    <w:rPr>
      <w:rFonts w:ascii="宋体" w:hAnsi="Calibri"/>
      <w:color w:val="000000"/>
      <w:sz w:val="24"/>
      <w:szCs w:val="24"/>
      <w:lang w:val="en-US" w:eastAsia="zh-CN" w:bidi="ar-SA"/>
    </w:rPr>
  </w:style>
  <w:style w:type="paragraph" w:customStyle="1" w:styleId="291">
    <w:name w:val="Default"/>
    <w:link w:val="290"/>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character" w:customStyle="1" w:styleId="292">
    <w:name w:val="tpc_content1"/>
    <w:qFormat/>
    <w:uiPriority w:val="0"/>
    <w:rPr>
      <w:sz w:val="20"/>
      <w:szCs w:val="20"/>
    </w:rPr>
  </w:style>
  <w:style w:type="character" w:customStyle="1" w:styleId="293">
    <w:name w:val="f14b1"/>
    <w:semiHidden/>
    <w:qFormat/>
    <w:uiPriority w:val="0"/>
    <w:rPr>
      <w:b/>
      <w:bCs/>
      <w:sz w:val="21"/>
      <w:szCs w:val="21"/>
    </w:rPr>
  </w:style>
  <w:style w:type="character" w:customStyle="1" w:styleId="294">
    <w:name w:val="f142"/>
    <w:semiHidden/>
    <w:qFormat/>
    <w:uiPriority w:val="0"/>
    <w:rPr>
      <w:sz w:val="21"/>
      <w:szCs w:val="21"/>
    </w:rPr>
  </w:style>
  <w:style w:type="character" w:customStyle="1" w:styleId="295">
    <w:name w:val="正文缩进 Char1"/>
    <w:qFormat/>
    <w:uiPriority w:val="0"/>
    <w:rPr>
      <w:kern w:val="2"/>
      <w:sz w:val="21"/>
    </w:rPr>
  </w:style>
  <w:style w:type="character" w:customStyle="1" w:styleId="296">
    <w:name w:val="明显参考2"/>
    <w:qFormat/>
    <w:uiPriority w:val="32"/>
    <w:rPr>
      <w:rFonts w:eastAsia="宋体"/>
      <w:bCs/>
      <w:smallCaps/>
      <w:color w:val="000000"/>
      <w:spacing w:val="5"/>
      <w:sz w:val="24"/>
      <w:u w:val="single"/>
    </w:rPr>
  </w:style>
  <w:style w:type="character" w:customStyle="1" w:styleId="297">
    <w:name w:val="pan3 Char"/>
    <w:link w:val="298"/>
    <w:qFormat/>
    <w:uiPriority w:val="0"/>
    <w:rPr>
      <w:rFonts w:ascii="黑体" w:hAnsi="黑体" w:eastAsia="黑体"/>
      <w:kern w:val="2"/>
      <w:sz w:val="28"/>
      <w:szCs w:val="28"/>
      <w:shd w:val="clear" w:color="auto" w:fill="FFFFFF"/>
    </w:rPr>
  </w:style>
  <w:style w:type="paragraph" w:customStyle="1" w:styleId="298">
    <w:name w:val="pan3"/>
    <w:basedOn w:val="188"/>
    <w:link w:val="297"/>
    <w:qFormat/>
    <w:uiPriority w:val="0"/>
    <w:pPr>
      <w:tabs>
        <w:tab w:val="left" w:pos="1260"/>
      </w:tabs>
      <w:ind w:left="1260" w:hanging="420" w:firstLineChars="0"/>
      <w:outlineLvl w:val="2"/>
    </w:pPr>
    <w:rPr>
      <w:rFonts w:ascii="黑体" w:hAnsi="黑体" w:eastAsia="黑体"/>
      <w:sz w:val="28"/>
      <w:szCs w:val="28"/>
    </w:rPr>
  </w:style>
  <w:style w:type="character" w:customStyle="1" w:styleId="299">
    <w:name w:val="标题 1 Char"/>
    <w:qFormat/>
    <w:uiPriority w:val="0"/>
    <w:rPr>
      <w:rFonts w:ascii="宋体" w:hAnsi="宋体" w:eastAsia="黑体" w:cs="Times New Roman"/>
      <w:b/>
      <w:bCs/>
      <w:kern w:val="44"/>
      <w:sz w:val="28"/>
      <w:szCs w:val="28"/>
      <w:shd w:val="clear" w:color="auto" w:fill="FFFFFF"/>
    </w:rPr>
  </w:style>
  <w:style w:type="character" w:customStyle="1" w:styleId="300">
    <w:name w:val="方案正文段落 Char"/>
    <w:link w:val="301"/>
    <w:qFormat/>
    <w:uiPriority w:val="0"/>
    <w:rPr>
      <w:kern w:val="2"/>
      <w:sz w:val="21"/>
    </w:rPr>
  </w:style>
  <w:style w:type="paragraph" w:customStyle="1" w:styleId="301">
    <w:name w:val="方案正文段落"/>
    <w:basedOn w:val="1"/>
    <w:link w:val="300"/>
    <w:qFormat/>
    <w:uiPriority w:val="0"/>
    <w:pPr>
      <w:ind w:firstLine="420" w:firstLineChars="200"/>
    </w:pPr>
    <w:rPr>
      <w:rFonts w:ascii="Times New Roman" w:hAnsi="Times New Roman" w:cs="Times New Roman"/>
      <w:kern w:val="2"/>
      <w:szCs w:val="20"/>
    </w:rPr>
  </w:style>
  <w:style w:type="character" w:customStyle="1" w:styleId="302">
    <w:name w:val="text1"/>
    <w:qFormat/>
    <w:uiPriority w:val="0"/>
  </w:style>
  <w:style w:type="character" w:customStyle="1" w:styleId="303">
    <w:name w:val="标题 3 Char"/>
    <w:qFormat/>
    <w:uiPriority w:val="0"/>
    <w:rPr>
      <w:rFonts w:ascii="黑体" w:eastAsia="黑体"/>
      <w:bCs/>
      <w:sz w:val="30"/>
    </w:rPr>
  </w:style>
  <w:style w:type="paragraph" w:customStyle="1" w:styleId="304">
    <w:name w:val="Char1 Char Char Char"/>
    <w:basedOn w:val="1"/>
    <w:qFormat/>
    <w:uiPriority w:val="0"/>
    <w:pPr>
      <w:widowControl w:val="0"/>
      <w:shd w:val="clear" w:color="auto" w:fill="auto"/>
      <w:tabs>
        <w:tab w:val="clear" w:pos="426"/>
      </w:tabs>
      <w:adjustRightInd/>
      <w:snapToGrid/>
      <w:spacing w:line="240" w:lineRule="auto"/>
    </w:pPr>
    <w:rPr>
      <w:rFonts w:ascii="Times New Roman" w:hAnsi="Times New Roman" w:eastAsia="仿宋_GB2312" w:cs="Times New Roman"/>
      <w:kern w:val="2"/>
      <w:sz w:val="28"/>
    </w:rPr>
  </w:style>
  <w:style w:type="paragraph" w:customStyle="1" w:styleId="305">
    <w:name w:val="xl10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sz w:val="22"/>
      <w:szCs w:val="22"/>
    </w:rPr>
  </w:style>
  <w:style w:type="paragraph" w:customStyle="1" w:styleId="306">
    <w:name w:val="_Style 38"/>
    <w:basedOn w:val="1"/>
    <w:qFormat/>
    <w:uiPriority w:val="0"/>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customStyle="1" w:styleId="307">
    <w:name w:val="xl23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308">
    <w:name w:val="xl11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309">
    <w:name w:val="方案标题2"/>
    <w:basedOn w:val="81"/>
    <w:qFormat/>
    <w:uiPriority w:val="0"/>
    <w:pPr>
      <w:tabs>
        <w:tab w:val="left" w:pos="720"/>
      </w:tabs>
      <w:spacing w:beforeLines="50" w:afterLines="50"/>
      <w:ind w:firstLine="200" w:firstLineChars="200"/>
      <w:jc w:val="left"/>
      <w:outlineLvl w:val="1"/>
    </w:pPr>
    <w:rPr>
      <w:rFonts w:eastAsia="仿宋_GB2312"/>
      <w:color w:val="000000"/>
      <w:sz w:val="30"/>
      <w:szCs w:val="30"/>
    </w:rPr>
  </w:style>
  <w:style w:type="paragraph" w:customStyle="1" w:styleId="310">
    <w:name w:val="Char"/>
    <w:basedOn w:val="1"/>
    <w:qFormat/>
    <w:uiPriority w:val="0"/>
    <w:pPr>
      <w:spacing w:after="160" w:line="240" w:lineRule="exact"/>
      <w:jc w:val="left"/>
    </w:pPr>
    <w:rPr>
      <w:rFonts w:ascii="Verdana" w:hAnsi="Verdana" w:eastAsia="仿宋_GB2312"/>
      <w:sz w:val="24"/>
      <w:szCs w:val="20"/>
      <w:lang w:eastAsia="en-US"/>
    </w:rPr>
  </w:style>
  <w:style w:type="paragraph" w:customStyle="1" w:styleId="311">
    <w:name w:val="xl22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2">
    <w:name w:val="Char5 Char Char 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313">
    <w:name w:val="TOC 标题2"/>
    <w:basedOn w:val="2"/>
    <w:next w:val="1"/>
    <w:qFormat/>
    <w:uiPriority w:val="39"/>
    <w:pPr>
      <w:keepNext/>
      <w:keepLines/>
      <w:shd w:val="clear" w:color="auto" w:fill="auto"/>
      <w:adjustRightInd/>
      <w:snapToGrid/>
      <w:spacing w:before="480" w:after="0" w:line="276" w:lineRule="auto"/>
      <w:jc w:val="left"/>
      <w:outlineLvl w:val="9"/>
    </w:pPr>
    <w:rPr>
      <w:rFonts w:ascii="Cambria" w:hAnsi="Cambria" w:eastAsia="宋体"/>
      <w:color w:val="365F91"/>
      <w:kern w:val="0"/>
    </w:rPr>
  </w:style>
  <w:style w:type="paragraph" w:customStyle="1" w:styleId="314">
    <w:name w:val="xl9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styleId="315">
    <w:name w:val="List Paragraph"/>
    <w:basedOn w:val="1"/>
    <w:qFormat/>
    <w:uiPriority w:val="34"/>
    <w:pPr>
      <w:widowControl w:val="0"/>
      <w:shd w:val="clear" w:color="auto" w:fill="auto"/>
      <w:tabs>
        <w:tab w:val="clear" w:pos="426"/>
      </w:tabs>
      <w:adjustRightInd/>
      <w:snapToGrid/>
      <w:ind w:firstLine="420" w:firstLineChars="200"/>
    </w:pPr>
    <w:rPr>
      <w:rFonts w:ascii="Times New Roman" w:hAnsi="Times New Roman" w:cs="Times New Roman"/>
      <w:kern w:val="2"/>
      <w:sz w:val="24"/>
    </w:rPr>
  </w:style>
  <w:style w:type="paragraph" w:customStyle="1" w:styleId="316">
    <w:name w:val="xl103"/>
    <w:basedOn w:val="1"/>
    <w:qFormat/>
    <w:uiPriority w:val="0"/>
    <w:pPr>
      <w:spacing w:beforeAutospacing="1" w:afterAutospacing="1"/>
      <w:jc w:val="left"/>
      <w:textAlignment w:val="center"/>
    </w:pPr>
    <w:rPr>
      <w:color w:val="FF0000"/>
      <w:sz w:val="22"/>
      <w:szCs w:val="22"/>
    </w:rPr>
  </w:style>
  <w:style w:type="paragraph" w:customStyle="1" w:styleId="317">
    <w:name w:val="xl81"/>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318">
    <w:name w:val="xl25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9">
    <w:name w:val="xl26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20">
    <w:name w:val="pa-2"/>
    <w:basedOn w:val="1"/>
    <w:qFormat/>
    <w:uiPriority w:val="0"/>
    <w:pPr>
      <w:spacing w:before="100" w:beforeAutospacing="1" w:after="100" w:afterAutospacing="1"/>
      <w:jc w:val="left"/>
    </w:pPr>
    <w:rPr>
      <w:sz w:val="24"/>
    </w:rPr>
  </w:style>
  <w:style w:type="paragraph" w:customStyle="1" w:styleId="321">
    <w:name w:val="xl22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b/>
      <w:bCs/>
      <w:sz w:val="24"/>
    </w:rPr>
  </w:style>
  <w:style w:type="paragraph" w:customStyle="1" w:styleId="322">
    <w:name w:val="xl86"/>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pPr>
    <w:rPr>
      <w:color w:val="000000"/>
      <w:sz w:val="24"/>
    </w:rPr>
  </w:style>
  <w:style w:type="paragraph" w:customStyle="1" w:styleId="323">
    <w:name w:val="正文样式"/>
    <w:basedOn w:val="33"/>
    <w:qFormat/>
    <w:uiPriority w:val="0"/>
    <w:pPr>
      <w:widowControl w:val="0"/>
      <w:shd w:val="clear" w:color="auto" w:fill="auto"/>
      <w:adjustRightInd/>
      <w:snapToGrid/>
      <w:jc w:val="left"/>
    </w:pPr>
    <w:rPr>
      <w:rFonts w:ascii="宋体" w:cs="宋体"/>
      <w:szCs w:val="20"/>
    </w:rPr>
  </w:style>
  <w:style w:type="paragraph" w:customStyle="1" w:styleId="324">
    <w:name w:val="xl24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textAlignment w:val="center"/>
    </w:pPr>
    <w:rPr>
      <w:sz w:val="24"/>
    </w:rPr>
  </w:style>
  <w:style w:type="paragraph" w:customStyle="1" w:styleId="325">
    <w:name w:val="xl24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26">
    <w:name w:val="xl127"/>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sz w:val="22"/>
      <w:szCs w:val="22"/>
    </w:rPr>
  </w:style>
  <w:style w:type="paragraph" w:customStyle="1" w:styleId="327">
    <w:name w:val="正文Land"/>
    <w:basedOn w:val="1"/>
    <w:qFormat/>
    <w:uiPriority w:val="0"/>
    <w:pPr>
      <w:spacing w:beforeLines="20" w:afterLines="50"/>
      <w:ind w:firstLine="200" w:firstLineChars="200"/>
    </w:pPr>
    <w:rPr>
      <w:color w:val="000000"/>
      <w:sz w:val="24"/>
    </w:rPr>
  </w:style>
  <w:style w:type="paragraph" w:customStyle="1" w:styleId="328">
    <w:name w:val="xl24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29">
    <w:name w:val="xl12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330">
    <w:name w:val="xl23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31">
    <w:name w:val="font9"/>
    <w:basedOn w:val="1"/>
    <w:qFormat/>
    <w:uiPriority w:val="0"/>
    <w:pPr>
      <w:shd w:val="clear" w:color="auto" w:fill="auto"/>
      <w:tabs>
        <w:tab w:val="clear" w:pos="426"/>
      </w:tabs>
      <w:adjustRightInd/>
      <w:snapToGrid/>
      <w:spacing w:before="100" w:beforeAutospacing="1" w:after="100" w:afterAutospacing="1" w:line="240" w:lineRule="auto"/>
      <w:jc w:val="left"/>
    </w:pPr>
    <w:rPr>
      <w:b/>
      <w:bCs/>
      <w:sz w:val="20"/>
      <w:szCs w:val="20"/>
    </w:rPr>
  </w:style>
  <w:style w:type="paragraph" w:customStyle="1" w:styleId="332">
    <w:name w:val="xl111"/>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rFonts w:ascii="仿宋_GB2312" w:eastAsia="仿宋_GB2312"/>
      <w:sz w:val="22"/>
      <w:szCs w:val="22"/>
    </w:rPr>
  </w:style>
  <w:style w:type="paragraph" w:customStyle="1" w:styleId="333">
    <w:name w:val="xl25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34">
    <w:name w:val="xl10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FF0000"/>
      <w:sz w:val="22"/>
      <w:szCs w:val="22"/>
    </w:rPr>
  </w:style>
  <w:style w:type="paragraph" w:customStyle="1" w:styleId="335">
    <w:name w:val="样式 (西文) 宋体 行距: 1.5 倍行距"/>
    <w:basedOn w:val="1"/>
    <w:qFormat/>
    <w:uiPriority w:val="0"/>
    <w:pPr>
      <w:widowControl w:val="0"/>
      <w:shd w:val="clear" w:color="auto" w:fill="auto"/>
      <w:tabs>
        <w:tab w:val="clear" w:pos="426"/>
      </w:tabs>
      <w:adjustRightInd/>
      <w:snapToGrid/>
    </w:pPr>
    <w:rPr>
      <w:kern w:val="2"/>
      <w:szCs w:val="20"/>
    </w:rPr>
  </w:style>
  <w:style w:type="paragraph" w:customStyle="1" w:styleId="336">
    <w:name w:val="样式1"/>
    <w:basedOn w:val="1"/>
    <w:qFormat/>
    <w:uiPriority w:val="0"/>
    <w:pPr>
      <w:keepNext/>
      <w:keepLines/>
      <w:spacing w:before="340" w:after="330"/>
      <w:ind w:left="420" w:hanging="420"/>
      <w:outlineLvl w:val="0"/>
    </w:pPr>
    <w:rPr>
      <w:b/>
      <w:kern w:val="44"/>
      <w:sz w:val="44"/>
      <w:szCs w:val="20"/>
    </w:rPr>
  </w:style>
  <w:style w:type="paragraph" w:customStyle="1" w:styleId="337">
    <w:name w:val="xl25"/>
    <w:basedOn w:val="1"/>
    <w:qFormat/>
    <w:uiPriority w:val="0"/>
    <w:pPr>
      <w:pBdr>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520" w:lineRule="exact"/>
      <w:jc w:val="center"/>
      <w:textAlignment w:val="center"/>
    </w:pPr>
    <w:rPr>
      <w:rFonts w:cs="Times New Roman"/>
      <w:sz w:val="24"/>
      <w:szCs w:val="20"/>
    </w:rPr>
  </w:style>
  <w:style w:type="paragraph" w:customStyle="1" w:styleId="338">
    <w:name w:val="xl8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b/>
      <w:bCs/>
      <w:color w:val="000000"/>
      <w:sz w:val="24"/>
    </w:rPr>
  </w:style>
  <w:style w:type="paragraph" w:customStyle="1" w:styleId="339">
    <w:name w:val="xl23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40">
    <w:name w:val="xl65"/>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b/>
      <w:bCs/>
      <w:sz w:val="24"/>
    </w:rPr>
  </w:style>
  <w:style w:type="paragraph" w:customStyle="1" w:styleId="341">
    <w:name w:val="xl11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000000"/>
      <w:sz w:val="22"/>
      <w:szCs w:val="22"/>
    </w:rPr>
  </w:style>
  <w:style w:type="paragraph" w:customStyle="1" w:styleId="342">
    <w:name w:val="xl64"/>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343">
    <w:name w:val="xl104"/>
    <w:basedOn w:val="1"/>
    <w:qFormat/>
    <w:uiPriority w:val="0"/>
    <w:pPr>
      <w:spacing w:beforeAutospacing="1" w:afterAutospacing="1"/>
      <w:jc w:val="center"/>
    </w:pPr>
    <w:rPr>
      <w:sz w:val="24"/>
    </w:rPr>
  </w:style>
  <w:style w:type="paragraph" w:customStyle="1" w:styleId="344">
    <w:name w:val="xl71"/>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345">
    <w:name w:val="xl9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sz w:val="22"/>
      <w:szCs w:val="22"/>
    </w:rPr>
  </w:style>
  <w:style w:type="paragraph" w:customStyle="1" w:styleId="346">
    <w:name w:val="xl132"/>
    <w:basedOn w:val="1"/>
    <w:qFormat/>
    <w:uiPriority w:val="0"/>
    <w:pPr>
      <w:pBdr>
        <w:top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347">
    <w:name w:val="xl228"/>
    <w:basedOn w:val="1"/>
    <w:qFormat/>
    <w:uiPriority w:val="0"/>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48">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paragraph" w:customStyle="1" w:styleId="349">
    <w:name w:val="xl269"/>
    <w:basedOn w:val="1"/>
    <w:qFormat/>
    <w:uiPriority w:val="0"/>
    <w:pPr>
      <w:pBdr>
        <w:bottom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40"/>
      <w:szCs w:val="40"/>
    </w:rPr>
  </w:style>
  <w:style w:type="paragraph" w:customStyle="1" w:styleId="350">
    <w:name w:val="xl251"/>
    <w:basedOn w:val="1"/>
    <w:qFormat/>
    <w:uiPriority w:val="0"/>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51">
    <w:name w:val="附件标题"/>
    <w:basedOn w:val="1"/>
    <w:qFormat/>
    <w:uiPriority w:val="0"/>
    <w:pPr>
      <w:ind w:firstLine="200" w:firstLineChars="200"/>
      <w:jc w:val="center"/>
    </w:pPr>
    <w:rPr>
      <w:rFonts w:ascii="Arial" w:hAnsi="Arial" w:eastAsia="黑体"/>
      <w:sz w:val="24"/>
    </w:rPr>
  </w:style>
  <w:style w:type="paragraph" w:customStyle="1" w:styleId="352">
    <w:name w:val="xl121"/>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353">
    <w:name w:val="标题5"/>
    <w:basedOn w:val="188"/>
    <w:qFormat/>
    <w:uiPriority w:val="0"/>
    <w:pPr>
      <w:tabs>
        <w:tab w:val="left" w:pos="2038"/>
      </w:tabs>
      <w:ind w:left="2038" w:hanging="420" w:firstLineChars="0"/>
      <w:jc w:val="left"/>
      <w:outlineLvl w:val="4"/>
    </w:pPr>
    <w:rPr>
      <w:rFonts w:ascii="黑体" w:hAnsi="黑体" w:eastAsia="黑体"/>
      <w:sz w:val="28"/>
      <w:szCs w:val="28"/>
    </w:rPr>
  </w:style>
  <w:style w:type="paragraph" w:customStyle="1" w:styleId="354">
    <w:name w:val="xl26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5">
    <w:name w:val="_Style 95"/>
    <w:unhideWhenUsed/>
    <w:qFormat/>
    <w:uiPriority w:val="99"/>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356">
    <w:name w:val="xl25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7">
    <w:name w:val="xl82"/>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pPr>
    <w:rPr>
      <w:color w:val="000000"/>
      <w:sz w:val="24"/>
    </w:rPr>
  </w:style>
  <w:style w:type="paragraph" w:customStyle="1" w:styleId="358">
    <w:name w:val="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359">
    <w:name w:val="xl98"/>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sz w:val="22"/>
      <w:szCs w:val="22"/>
    </w:rPr>
  </w:style>
  <w:style w:type="paragraph" w:customStyle="1" w:styleId="360">
    <w:name w:val="--规划正文"/>
    <w:basedOn w:val="1"/>
    <w:qFormat/>
    <w:uiPriority w:val="0"/>
    <w:pPr>
      <w:widowControl w:val="0"/>
      <w:shd w:val="clear" w:color="auto" w:fill="auto"/>
      <w:tabs>
        <w:tab w:val="clear" w:pos="426"/>
      </w:tabs>
      <w:adjustRightInd/>
      <w:snapToGrid/>
      <w:ind w:firstLine="200" w:firstLineChars="200"/>
    </w:pPr>
    <w:rPr>
      <w:rFonts w:ascii="Times New Roman" w:hAnsi="Times New Roman" w:cs="Times New Roman"/>
      <w:kern w:val="2"/>
      <w:szCs w:val="20"/>
    </w:rPr>
  </w:style>
  <w:style w:type="paragraph" w:customStyle="1" w:styleId="361">
    <w:name w:val="xl24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62">
    <w:name w:val="TOC 标题1"/>
    <w:basedOn w:val="2"/>
    <w:next w:val="1"/>
    <w:qFormat/>
    <w:uiPriority w:val="39"/>
    <w:pPr>
      <w:spacing w:before="480" w:after="0" w:line="276" w:lineRule="auto"/>
      <w:jc w:val="left"/>
      <w:outlineLvl w:val="9"/>
    </w:pPr>
    <w:rPr>
      <w:rFonts w:ascii="Cambria" w:hAnsi="Cambria" w:eastAsia="宋体"/>
      <w:color w:val="365F91"/>
      <w:kern w:val="0"/>
    </w:rPr>
  </w:style>
  <w:style w:type="paragraph" w:customStyle="1" w:styleId="363">
    <w:name w:val="xl68"/>
    <w:basedOn w:val="1"/>
    <w:qFormat/>
    <w:uiPriority w:val="0"/>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b/>
      <w:bCs/>
      <w:sz w:val="24"/>
    </w:rPr>
  </w:style>
  <w:style w:type="paragraph" w:customStyle="1" w:styleId="364">
    <w:name w:val="Char Char Char Char Char Char Char"/>
    <w:basedOn w:val="1"/>
    <w:qFormat/>
    <w:uiPriority w:val="0"/>
    <w:pPr>
      <w:widowControl w:val="0"/>
      <w:shd w:val="clear" w:color="auto" w:fill="auto"/>
      <w:tabs>
        <w:tab w:val="clear" w:pos="426"/>
      </w:tabs>
      <w:adjustRightInd/>
      <w:snapToGrid/>
      <w:spacing w:line="240" w:lineRule="auto"/>
    </w:pPr>
    <w:rPr>
      <w:rFonts w:ascii="仿宋_GB2312" w:hAnsi="Times New Roman" w:eastAsia="仿宋_GB2312" w:cs="Times New Roman"/>
      <w:b/>
      <w:kern w:val="2"/>
      <w:sz w:val="32"/>
      <w:szCs w:val="32"/>
    </w:rPr>
  </w:style>
  <w:style w:type="paragraph" w:customStyle="1" w:styleId="365">
    <w:name w:val="ggbody"/>
    <w:basedOn w:val="1"/>
    <w:semiHidden/>
    <w:qFormat/>
    <w:uiPriority w:val="0"/>
    <w:pPr>
      <w:shd w:val="clear" w:color="auto" w:fill="auto"/>
      <w:tabs>
        <w:tab w:val="clear" w:pos="426"/>
      </w:tabs>
      <w:adjustRightInd/>
      <w:snapToGrid/>
      <w:spacing w:before="100" w:beforeAutospacing="1" w:after="100" w:afterAutospacing="1" w:line="330" w:lineRule="atLeast"/>
      <w:jc w:val="left"/>
    </w:pPr>
    <w:rPr>
      <w:sz w:val="23"/>
      <w:szCs w:val="23"/>
    </w:rPr>
  </w:style>
  <w:style w:type="paragraph" w:customStyle="1" w:styleId="366">
    <w:name w:val="!项目ALT+P"/>
    <w:basedOn w:val="1"/>
    <w:qFormat/>
    <w:uiPriority w:val="0"/>
    <w:pPr>
      <w:tabs>
        <w:tab w:val="left" w:pos="420"/>
        <w:tab w:val="clear" w:pos="426"/>
      </w:tabs>
      <w:spacing w:line="320" w:lineRule="atLeast"/>
      <w:ind w:left="420"/>
      <w:textAlignment w:val="baseline"/>
    </w:pPr>
    <w:rPr>
      <w:szCs w:val="21"/>
    </w:rPr>
  </w:style>
  <w:style w:type="paragraph" w:customStyle="1" w:styleId="367">
    <w:name w:val="xl3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rFonts w:ascii="Times New Roman" w:hAnsi="Times New Roman" w:eastAsia="Arial Unicode MS" w:cs="Times New Roman"/>
      <w:sz w:val="24"/>
    </w:rPr>
  </w:style>
  <w:style w:type="paragraph" w:customStyle="1" w:styleId="368">
    <w:name w:val="Char1"/>
    <w:basedOn w:val="1"/>
    <w:qFormat/>
    <w:uiPriority w:val="0"/>
    <w:pPr>
      <w:spacing w:after="160" w:line="240" w:lineRule="exact"/>
      <w:jc w:val="left"/>
    </w:pPr>
    <w:rPr>
      <w:rFonts w:ascii="Verdana" w:hAnsi="Verdana" w:eastAsia="仿宋_GB2312"/>
      <w:sz w:val="24"/>
      <w:szCs w:val="20"/>
      <w:lang w:eastAsia="en-US"/>
    </w:rPr>
  </w:style>
  <w:style w:type="paragraph" w:customStyle="1" w:styleId="369">
    <w:name w:val="xl11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370">
    <w:name w:val="xl11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0"/>
      <w:szCs w:val="20"/>
    </w:rPr>
  </w:style>
  <w:style w:type="paragraph" w:customStyle="1" w:styleId="371">
    <w:name w:val="正文-1级列表-(1)"/>
    <w:basedOn w:val="1"/>
    <w:qFormat/>
    <w:uiPriority w:val="0"/>
    <w:pPr>
      <w:tabs>
        <w:tab w:val="left" w:pos="420"/>
        <w:tab w:val="clear" w:pos="426"/>
      </w:tabs>
      <w:ind w:left="800"/>
    </w:pPr>
    <w:rPr>
      <w:sz w:val="24"/>
      <w:lang w:val="en-GB"/>
    </w:rPr>
  </w:style>
  <w:style w:type="paragraph" w:customStyle="1" w:styleId="372">
    <w:name w:val="xl23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73">
    <w:name w:val="xl67"/>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color w:val="000000"/>
      <w:sz w:val="24"/>
    </w:rPr>
  </w:style>
  <w:style w:type="paragraph" w:customStyle="1" w:styleId="374">
    <w:name w:val="font7"/>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hAnsi="Times New Roman" w:cs="Times New Roman"/>
      <w:sz w:val="20"/>
      <w:szCs w:val="20"/>
    </w:rPr>
  </w:style>
  <w:style w:type="paragraph" w:customStyle="1" w:styleId="375">
    <w:name w:val="xl22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76">
    <w:name w:val="5"/>
    <w:basedOn w:val="1"/>
    <w:qFormat/>
    <w:uiPriority w:val="0"/>
    <w:pPr>
      <w:ind w:firstLine="200" w:firstLineChars="200"/>
      <w:jc w:val="left"/>
    </w:pPr>
    <w:rPr>
      <w:sz w:val="24"/>
    </w:rPr>
  </w:style>
  <w:style w:type="paragraph" w:customStyle="1" w:styleId="377">
    <w:name w:val="样式 标题 4h4heading 4h41heading 41h42heading 42h411heading ..."/>
    <w:basedOn w:val="5"/>
    <w:qFormat/>
    <w:uiPriority w:val="0"/>
    <w:pPr>
      <w:spacing w:beforeLines="50" w:afterLines="50" w:line="377" w:lineRule="auto"/>
      <w:ind w:left="2240" w:right="220"/>
      <w:jc w:val="left"/>
    </w:pPr>
    <w:rPr>
      <w:rFonts w:ascii="Cambria" w:hAnsi="Cambria" w:eastAsia="宋体" w:cs="宋体"/>
      <w:sz w:val="24"/>
      <w:szCs w:val="20"/>
    </w:rPr>
  </w:style>
  <w:style w:type="paragraph" w:customStyle="1" w:styleId="378">
    <w:name w:val="xl8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color w:val="000000"/>
      <w:sz w:val="24"/>
    </w:rPr>
  </w:style>
  <w:style w:type="paragraph" w:customStyle="1" w:styleId="379">
    <w:name w:val="缺省文本"/>
    <w:basedOn w:val="1"/>
    <w:qFormat/>
    <w:uiPriority w:val="0"/>
    <w:pPr>
      <w:widowControl w:val="0"/>
      <w:shd w:val="clear" w:color="auto" w:fill="auto"/>
      <w:tabs>
        <w:tab w:val="clear" w:pos="426"/>
      </w:tabs>
      <w:autoSpaceDE w:val="0"/>
      <w:autoSpaceDN w:val="0"/>
      <w:snapToGrid/>
      <w:spacing w:line="240" w:lineRule="auto"/>
      <w:jc w:val="left"/>
    </w:pPr>
    <w:rPr>
      <w:rFonts w:ascii="Times New Roman" w:hAnsi="Times New Roman" w:cs="Times New Roman"/>
      <w:sz w:val="24"/>
    </w:rPr>
  </w:style>
  <w:style w:type="paragraph" w:customStyle="1" w:styleId="380">
    <w:name w:val="参数内容"/>
    <w:basedOn w:val="188"/>
    <w:qFormat/>
    <w:uiPriority w:val="0"/>
    <w:pPr>
      <w:ind w:left="780" w:firstLine="0" w:firstLineChars="0"/>
    </w:pPr>
    <w:rPr>
      <w:szCs w:val="18"/>
    </w:rPr>
  </w:style>
  <w:style w:type="paragraph" w:customStyle="1" w:styleId="381">
    <w:name w:val="默认段落字体 Para Char Char Char Char Char Char Char Char Char3 Char Char Char Char"/>
    <w:basedOn w:val="25"/>
    <w:qFormat/>
    <w:uiPriority w:val="0"/>
    <w:pPr>
      <w:spacing w:line="436" w:lineRule="exact"/>
      <w:ind w:left="357"/>
      <w:jc w:val="left"/>
      <w:outlineLvl w:val="3"/>
    </w:pPr>
    <w:rPr>
      <w:rFonts w:ascii="Tahoma" w:hAnsi="Tahoma"/>
      <w:b/>
      <w:sz w:val="24"/>
    </w:rPr>
  </w:style>
  <w:style w:type="paragraph" w:customStyle="1" w:styleId="382">
    <w:name w:val="样式5"/>
    <w:basedOn w:val="1"/>
    <w:qFormat/>
    <w:uiPriority w:val="0"/>
    <w:pPr>
      <w:tabs>
        <w:tab w:val="left" w:pos="900"/>
      </w:tabs>
      <w:spacing w:beforeLines="50" w:afterLines="50"/>
      <w:ind w:left="900"/>
    </w:pPr>
    <w:rPr>
      <w:rFonts w:eastAsia="仿宋_GB2312"/>
      <w:color w:val="000000"/>
      <w:sz w:val="24"/>
    </w:rPr>
  </w:style>
  <w:style w:type="paragraph" w:customStyle="1" w:styleId="383">
    <w:name w:val="Char Char10 Char Char"/>
    <w:basedOn w:val="25"/>
    <w:qFormat/>
    <w:uiPriority w:val="0"/>
    <w:rPr>
      <w:rFonts w:ascii="Tahoma" w:hAnsi="Tahoma"/>
      <w:sz w:val="24"/>
    </w:rPr>
  </w:style>
  <w:style w:type="paragraph" w:customStyle="1" w:styleId="384">
    <w:name w:val="表格正文"/>
    <w:basedOn w:val="1"/>
    <w:qFormat/>
    <w:uiPriority w:val="0"/>
    <w:pPr>
      <w:widowControl w:val="0"/>
      <w:shd w:val="clear" w:color="auto" w:fill="auto"/>
      <w:tabs>
        <w:tab w:val="clear" w:pos="426"/>
      </w:tabs>
      <w:adjustRightInd/>
      <w:snapToGrid/>
      <w:ind w:firstLine="200" w:firstLineChars="200"/>
    </w:pPr>
    <w:rPr>
      <w:rFonts w:ascii="Arial" w:hAnsi="Arial" w:eastAsia="仿宋_GB2312" w:cs="Times New Roman"/>
      <w:kern w:val="2"/>
      <w:sz w:val="24"/>
      <w:szCs w:val="22"/>
    </w:rPr>
  </w:style>
  <w:style w:type="paragraph" w:customStyle="1" w:styleId="385">
    <w:name w:val="文档正文"/>
    <w:basedOn w:val="1"/>
    <w:qFormat/>
    <w:uiPriority w:val="0"/>
    <w:pPr>
      <w:spacing w:line="480" w:lineRule="atLeast"/>
      <w:ind w:firstLine="567" w:firstLineChars="200"/>
      <w:textAlignment w:val="baseline"/>
    </w:pPr>
    <w:rPr>
      <w:rFonts w:ascii="长城仿宋"/>
      <w:szCs w:val="20"/>
    </w:rPr>
  </w:style>
  <w:style w:type="paragraph" w:customStyle="1" w:styleId="386">
    <w:name w:val="xl11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387">
    <w:name w:val="xl114"/>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sz w:val="22"/>
      <w:szCs w:val="22"/>
    </w:rPr>
  </w:style>
  <w:style w:type="paragraph" w:customStyle="1" w:styleId="388">
    <w:name w:val="xl9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0"/>
      <w:szCs w:val="20"/>
    </w:rPr>
  </w:style>
  <w:style w:type="paragraph" w:customStyle="1" w:styleId="389">
    <w:name w:val="正文1"/>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390">
    <w:name w:val="Char Char Char Char1"/>
    <w:basedOn w:val="1"/>
    <w:qFormat/>
    <w:uiPriority w:val="0"/>
    <w:pPr>
      <w:spacing w:after="160" w:line="240" w:lineRule="exact"/>
      <w:jc w:val="left"/>
    </w:pPr>
    <w:rPr>
      <w:rFonts w:ascii="Verdana" w:hAnsi="Verdana" w:eastAsia="仿宋_GB2312"/>
      <w:sz w:val="24"/>
      <w:szCs w:val="20"/>
      <w:lang w:eastAsia="en-US"/>
    </w:rPr>
  </w:style>
  <w:style w:type="paragraph" w:customStyle="1" w:styleId="391">
    <w:name w:val="附件1."/>
    <w:basedOn w:val="2"/>
    <w:qFormat/>
    <w:uiPriority w:val="0"/>
    <w:pPr>
      <w:tabs>
        <w:tab w:val="left" w:pos="360"/>
        <w:tab w:val="left" w:pos="420"/>
        <w:tab w:val="clear" w:pos="426"/>
      </w:tabs>
      <w:spacing w:before="0" w:after="0" w:line="360" w:lineRule="auto"/>
      <w:ind w:left="567" w:hanging="567"/>
      <w:jc w:val="both"/>
    </w:pPr>
    <w:rPr>
      <w:rFonts w:ascii="Times New Roman" w:hAnsi="Times New Roman" w:eastAsia="宋体"/>
      <w:sz w:val="24"/>
      <w:szCs w:val="44"/>
    </w:rPr>
  </w:style>
  <w:style w:type="paragraph" w:customStyle="1" w:styleId="392">
    <w:name w:val="样式 首行缩进:  0 字符"/>
    <w:basedOn w:val="1"/>
    <w:qFormat/>
    <w:uiPriority w:val="0"/>
    <w:pPr>
      <w:ind w:firstLine="200" w:firstLineChars="200"/>
    </w:pPr>
    <w:rPr>
      <w:sz w:val="24"/>
      <w:szCs w:val="20"/>
    </w:rPr>
  </w:style>
  <w:style w:type="paragraph" w:customStyle="1" w:styleId="393">
    <w:name w:val="xl78"/>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b/>
      <w:bCs/>
      <w:color w:val="000000"/>
      <w:sz w:val="24"/>
    </w:rPr>
  </w:style>
  <w:style w:type="paragraph" w:customStyle="1" w:styleId="394">
    <w:name w:val="xl10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b/>
      <w:bCs/>
      <w:sz w:val="18"/>
      <w:szCs w:val="18"/>
    </w:rPr>
  </w:style>
  <w:style w:type="paragraph" w:customStyle="1" w:styleId="395">
    <w:name w:val="Default Text"/>
    <w:basedOn w:val="1"/>
    <w:qFormat/>
    <w:uiPriority w:val="0"/>
    <w:pPr>
      <w:widowControl w:val="0"/>
      <w:shd w:val="clear" w:color="auto" w:fill="auto"/>
      <w:tabs>
        <w:tab w:val="clear" w:pos="426"/>
      </w:tabs>
      <w:autoSpaceDE w:val="0"/>
      <w:autoSpaceDN w:val="0"/>
      <w:snapToGrid/>
      <w:spacing w:line="240" w:lineRule="auto"/>
      <w:jc w:val="left"/>
    </w:pPr>
    <w:rPr>
      <w:rFonts w:ascii="Times New Roman" w:hAnsi="Times New Roman" w:cs="Times New Roman"/>
      <w:sz w:val="24"/>
    </w:rPr>
  </w:style>
  <w:style w:type="paragraph" w:customStyle="1" w:styleId="396">
    <w:name w:val="xl69"/>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397">
    <w:name w:val="xl79"/>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398">
    <w:name w:val="xl73"/>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399">
    <w:name w:val="cqq2"/>
    <w:basedOn w:val="1"/>
    <w:qFormat/>
    <w:uiPriority w:val="0"/>
    <w:pPr>
      <w:widowControl w:val="0"/>
      <w:shd w:val="clear" w:color="auto" w:fill="auto"/>
      <w:tabs>
        <w:tab w:val="clear" w:pos="426"/>
      </w:tabs>
      <w:adjustRightInd/>
      <w:snapToGrid/>
      <w:spacing w:line="520" w:lineRule="exact"/>
    </w:pPr>
    <w:rPr>
      <w:rFonts w:ascii="仿宋_GB2312" w:hAnsi="Times New Roman" w:eastAsia="仿宋_GB2312" w:cs="Times New Roman"/>
      <w:b/>
      <w:kern w:val="2"/>
      <w:sz w:val="28"/>
      <w:szCs w:val="20"/>
    </w:rPr>
  </w:style>
  <w:style w:type="paragraph" w:customStyle="1" w:styleId="400">
    <w:name w:val="MaoC2"/>
    <w:basedOn w:val="1"/>
    <w:qFormat/>
    <w:uiPriority w:val="0"/>
    <w:pPr>
      <w:tabs>
        <w:tab w:val="left" w:pos="510"/>
      </w:tabs>
      <w:spacing w:line="480" w:lineRule="auto"/>
      <w:ind w:left="420" w:hanging="420"/>
      <w:outlineLvl w:val="1"/>
    </w:pPr>
    <w:rPr>
      <w:rFonts w:ascii="黑体" w:eastAsia="黑体"/>
      <w:szCs w:val="20"/>
    </w:rPr>
  </w:style>
  <w:style w:type="paragraph" w:customStyle="1" w:styleId="401">
    <w:name w:val="xl10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Courier New" w:hAnsi="Courier New" w:cs="Courier New"/>
      <w:sz w:val="22"/>
      <w:szCs w:val="22"/>
    </w:rPr>
  </w:style>
  <w:style w:type="paragraph" w:customStyle="1" w:styleId="402">
    <w:name w:val="xl26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03">
    <w:name w:val="样式 标题 2H2Heading 2 HiddenHeading 2 CCBSheading 22nd levelh...1"/>
    <w:basedOn w:val="4"/>
    <w:qFormat/>
    <w:uiPriority w:val="0"/>
    <w:pPr>
      <w:adjustRightInd/>
      <w:spacing w:before="240" w:after="240"/>
      <w:ind w:left="576" w:hanging="576"/>
      <w:jc w:val="left"/>
      <w:textAlignment w:val="auto"/>
    </w:pPr>
    <w:rPr>
      <w:bCs/>
      <w:kern w:val="2"/>
      <w:sz w:val="28"/>
      <w:szCs w:val="28"/>
    </w:rPr>
  </w:style>
  <w:style w:type="paragraph" w:customStyle="1" w:styleId="404">
    <w:name w:val="样式 Verdana 四号 首行缩进:  2 字符"/>
    <w:basedOn w:val="1"/>
    <w:qFormat/>
    <w:uiPriority w:val="0"/>
    <w:pPr>
      <w:ind w:firstLine="560" w:firstLineChars="200"/>
      <w:jc w:val="left"/>
    </w:pPr>
    <w:rPr>
      <w:rFonts w:ascii="Verdana" w:hAnsi="Verdana"/>
      <w:sz w:val="24"/>
      <w:szCs w:val="20"/>
    </w:rPr>
  </w:style>
  <w:style w:type="paragraph" w:customStyle="1" w:styleId="405">
    <w:name w:val="主题"/>
    <w:basedOn w:val="1"/>
    <w:qFormat/>
    <w:uiPriority w:val="0"/>
  </w:style>
  <w:style w:type="paragraph" w:customStyle="1" w:styleId="406">
    <w:name w:val="ggtitle"/>
    <w:basedOn w:val="1"/>
    <w:semiHidden/>
    <w:qFormat/>
    <w:uiPriority w:val="0"/>
    <w:pPr>
      <w:shd w:val="clear" w:color="auto" w:fill="auto"/>
      <w:tabs>
        <w:tab w:val="clear" w:pos="426"/>
      </w:tabs>
      <w:adjustRightInd/>
      <w:snapToGrid/>
      <w:spacing w:before="100" w:beforeAutospacing="1" w:after="100" w:afterAutospacing="1" w:line="330" w:lineRule="atLeast"/>
      <w:jc w:val="left"/>
    </w:pPr>
    <w:rPr>
      <w:sz w:val="23"/>
      <w:szCs w:val="23"/>
    </w:rPr>
  </w:style>
  <w:style w:type="paragraph" w:customStyle="1" w:styleId="407">
    <w:name w:val="小标题 1"/>
    <w:basedOn w:val="1"/>
    <w:qFormat/>
    <w:uiPriority w:val="0"/>
    <w:pPr>
      <w:autoSpaceDE w:val="0"/>
      <w:autoSpaceDN w:val="0"/>
      <w:spacing w:line="360" w:lineRule="atLeast"/>
    </w:pPr>
    <w:rPr>
      <w:rFonts w:ascii="文鼎粗黑" w:eastAsia="文鼎粗黑"/>
      <w:sz w:val="22"/>
      <w:szCs w:val="20"/>
    </w:rPr>
  </w:style>
  <w:style w:type="paragraph" w:customStyle="1" w:styleId="408">
    <w:name w:val="修订1"/>
    <w:unhideWhenUsed/>
    <w:qFormat/>
    <w:uiPriority w:val="99"/>
    <w:rPr>
      <w:rFonts w:ascii="宋体" w:hAnsi="宋体" w:eastAsia="宋体" w:cs="宋体"/>
      <w:sz w:val="21"/>
      <w:szCs w:val="24"/>
      <w:lang w:val="en-US" w:eastAsia="zh-CN" w:bidi="ar-SA"/>
    </w:rPr>
  </w:style>
  <w:style w:type="paragraph" w:customStyle="1" w:styleId="409">
    <w:name w:val="样式 标题 4 + 段前: 0.5 行 段后: 0.5 行"/>
    <w:basedOn w:val="5"/>
    <w:qFormat/>
    <w:uiPriority w:val="0"/>
    <w:pPr>
      <w:spacing w:beforeLines="50" w:afterLines="50" w:line="377" w:lineRule="auto"/>
      <w:ind w:left="2240"/>
      <w:jc w:val="left"/>
    </w:pPr>
    <w:rPr>
      <w:rFonts w:ascii="Cambria" w:hAnsi="Cambria" w:eastAsia="宋体" w:cs="宋体"/>
      <w:sz w:val="24"/>
      <w:szCs w:val="20"/>
    </w:rPr>
  </w:style>
  <w:style w:type="paragraph" w:customStyle="1" w:styleId="410">
    <w:name w:val="xl12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411">
    <w:name w:val="xl80"/>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left"/>
      <w:textAlignment w:val="center"/>
    </w:pPr>
    <w:rPr>
      <w:color w:val="000000"/>
      <w:sz w:val="24"/>
    </w:rPr>
  </w:style>
  <w:style w:type="paragraph" w:customStyle="1" w:styleId="412">
    <w:name w:val="xl77"/>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left"/>
      <w:textAlignment w:val="center"/>
    </w:pPr>
    <w:rPr>
      <w:color w:val="000000"/>
      <w:sz w:val="24"/>
    </w:rPr>
  </w:style>
  <w:style w:type="paragraph" w:customStyle="1" w:styleId="413">
    <w:name w:val="样式 标题 2H2Heading 2 HiddenHeading 2 CCBSheading 22nd levelh..."/>
    <w:basedOn w:val="4"/>
    <w:qFormat/>
    <w:uiPriority w:val="0"/>
    <w:pPr>
      <w:adjustRightInd/>
      <w:spacing w:before="120" w:after="120"/>
      <w:ind w:left="576" w:hanging="576"/>
      <w:jc w:val="left"/>
      <w:textAlignment w:val="auto"/>
    </w:pPr>
    <w:rPr>
      <w:rFonts w:ascii="Arial" w:hAnsi="Arial" w:eastAsia="黑体"/>
      <w:bCs/>
      <w:kern w:val="2"/>
      <w:sz w:val="28"/>
      <w:szCs w:val="28"/>
    </w:rPr>
  </w:style>
  <w:style w:type="paragraph" w:customStyle="1" w:styleId="414">
    <w:name w:val="自定义正文"/>
    <w:basedOn w:val="1"/>
    <w:qFormat/>
    <w:uiPriority w:val="0"/>
    <w:pPr>
      <w:spacing w:afterLines="50"/>
      <w:ind w:left="600" w:leftChars="600"/>
    </w:pPr>
  </w:style>
  <w:style w:type="paragraph" w:customStyle="1" w:styleId="415">
    <w:name w:val="xl72"/>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textAlignment w:val="center"/>
    </w:pPr>
    <w:rPr>
      <w:color w:val="000000"/>
      <w:sz w:val="24"/>
    </w:rPr>
  </w:style>
  <w:style w:type="paragraph" w:customStyle="1" w:styleId="416">
    <w:name w:val="Char Char Char Char Char"/>
    <w:basedOn w:val="1"/>
    <w:qFormat/>
    <w:uiPriority w:val="0"/>
    <w:rPr>
      <w:rFonts w:ascii="Tahoma" w:hAnsi="Tahoma"/>
      <w:sz w:val="24"/>
      <w:szCs w:val="20"/>
    </w:rPr>
  </w:style>
  <w:style w:type="paragraph" w:customStyle="1" w:styleId="417">
    <w:name w:val="È±Ê¡ÎÄ±¾"/>
    <w:basedOn w:val="1"/>
    <w:qFormat/>
    <w:uiPriority w:val="0"/>
    <w:pPr>
      <w:overflowPunct w:val="0"/>
      <w:autoSpaceDE w:val="0"/>
      <w:autoSpaceDN w:val="0"/>
      <w:jc w:val="left"/>
      <w:textAlignment w:val="baseline"/>
    </w:pPr>
    <w:rPr>
      <w:sz w:val="24"/>
      <w:szCs w:val="20"/>
    </w:rPr>
  </w:style>
  <w:style w:type="paragraph" w:customStyle="1" w:styleId="418">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419">
    <w:name w:val="USE 4"/>
    <w:basedOn w:val="1"/>
    <w:qFormat/>
    <w:uiPriority w:val="0"/>
    <w:pPr>
      <w:widowControl w:val="0"/>
      <w:shd w:val="clear" w:color="auto" w:fill="auto"/>
      <w:tabs>
        <w:tab w:val="clear" w:pos="426"/>
      </w:tabs>
      <w:adjustRightInd/>
      <w:snapToGrid/>
      <w:ind w:left="284" w:hanging="227"/>
      <w:jc w:val="left"/>
    </w:pPr>
    <w:rPr>
      <w:rFonts w:cs="Times New Roman"/>
      <w:kern w:val="2"/>
      <w:sz w:val="24"/>
      <w:szCs w:val="20"/>
    </w:rPr>
  </w:style>
  <w:style w:type="paragraph" w:customStyle="1" w:styleId="420">
    <w:name w:val="表1"/>
    <w:basedOn w:val="1"/>
    <w:qFormat/>
    <w:uiPriority w:val="0"/>
    <w:pPr>
      <w:widowControl w:val="0"/>
      <w:shd w:val="clear" w:color="auto" w:fill="auto"/>
      <w:tabs>
        <w:tab w:val="clear" w:pos="426"/>
      </w:tabs>
      <w:adjustRightInd/>
      <w:snapToGrid/>
      <w:spacing w:line="240" w:lineRule="auto"/>
    </w:pPr>
    <w:rPr>
      <w:rFonts w:hint="eastAsia" w:ascii="Times New Roman" w:cs="Times New Roman"/>
      <w:kern w:val="2"/>
      <w:sz w:val="24"/>
      <w:szCs w:val="20"/>
    </w:rPr>
  </w:style>
  <w:style w:type="paragraph" w:customStyle="1" w:styleId="421">
    <w:name w:val="xl25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22">
    <w:name w:val="Char Char Char1 Char Char Char1 Char Char Char Char Char Char1 Char Char Char1 Char"/>
    <w:basedOn w:val="1"/>
    <w:qFormat/>
    <w:uiPriority w:val="0"/>
    <w:pPr>
      <w:widowControl w:val="0"/>
      <w:shd w:val="clear" w:color="auto" w:fill="auto"/>
      <w:tabs>
        <w:tab w:val="clear" w:pos="426"/>
      </w:tabs>
      <w:adjustRightInd/>
      <w:snapToGrid/>
      <w:spacing w:line="240" w:lineRule="auto"/>
    </w:pPr>
    <w:rPr>
      <w:rFonts w:ascii="Times New Roman" w:hAnsi="Times New Roman" w:cs="Times New Roman"/>
      <w:kern w:val="2"/>
      <w:szCs w:val="20"/>
    </w:rPr>
  </w:style>
  <w:style w:type="paragraph" w:customStyle="1" w:styleId="423">
    <w:name w:val="附件圈"/>
    <w:basedOn w:val="424"/>
    <w:qFormat/>
    <w:uiPriority w:val="0"/>
    <w:pPr>
      <w:tabs>
        <w:tab w:val="left" w:pos="420"/>
        <w:tab w:val="left" w:pos="426"/>
      </w:tabs>
      <w:ind w:left="0" w:firstLine="420"/>
    </w:pPr>
  </w:style>
  <w:style w:type="paragraph" w:customStyle="1" w:styleId="424">
    <w:name w:val="附件(1)"/>
    <w:basedOn w:val="1"/>
    <w:qFormat/>
    <w:uiPriority w:val="0"/>
    <w:pPr>
      <w:ind w:left="900" w:firstLine="200" w:firstLineChars="200"/>
    </w:pPr>
    <w:rPr>
      <w:sz w:val="24"/>
    </w:rPr>
  </w:style>
  <w:style w:type="paragraph" w:customStyle="1" w:styleId="425">
    <w:name w:val="样式 10 磅"/>
    <w:qFormat/>
    <w:uiPriority w:val="0"/>
    <w:pPr>
      <w:shd w:val="clear" w:color="auto" w:fill="FFFFFF"/>
      <w:tabs>
        <w:tab w:val="left" w:pos="426"/>
      </w:tabs>
      <w:adjustRightInd w:val="0"/>
      <w:snapToGrid w:val="0"/>
      <w:spacing w:line="360" w:lineRule="auto"/>
      <w:jc w:val="both"/>
    </w:pPr>
    <w:rPr>
      <w:rFonts w:ascii="宋体" w:hAnsi="Times New Roman" w:eastAsia="宋体" w:cs="宋体"/>
      <w:sz w:val="21"/>
      <w:szCs w:val="24"/>
      <w:lang w:val="en-US" w:eastAsia="zh-CN" w:bidi="ar-SA"/>
    </w:rPr>
  </w:style>
  <w:style w:type="paragraph" w:customStyle="1" w:styleId="426">
    <w:name w:val="xl25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2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428">
    <w:name w:val="方案标题1"/>
    <w:basedOn w:val="81"/>
    <w:qFormat/>
    <w:uiPriority w:val="0"/>
    <w:pPr>
      <w:tabs>
        <w:tab w:val="left" w:pos="1440"/>
      </w:tabs>
      <w:spacing w:beforeLines="50" w:afterLines="50"/>
      <w:ind w:firstLine="200" w:firstLineChars="200"/>
      <w:jc w:val="both"/>
    </w:pPr>
    <w:rPr>
      <w:color w:val="000000"/>
    </w:rPr>
  </w:style>
  <w:style w:type="paragraph" w:customStyle="1" w:styleId="429">
    <w:name w:val="xl26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30">
    <w:name w:val="标题1"/>
    <w:basedOn w:val="2"/>
    <w:qFormat/>
    <w:uiPriority w:val="0"/>
    <w:pPr>
      <w:keepNext/>
      <w:keepLines/>
      <w:widowControl w:val="0"/>
      <w:shd w:val="clear" w:color="auto" w:fill="auto"/>
      <w:tabs>
        <w:tab w:val="clear" w:pos="426"/>
      </w:tabs>
      <w:adjustRightInd/>
      <w:snapToGrid/>
      <w:spacing w:before="400" w:after="400" w:line="240" w:lineRule="auto"/>
      <w:ind w:left="284" w:hanging="284"/>
      <w:jc w:val="both"/>
    </w:pPr>
    <w:rPr>
      <w:rFonts w:ascii="Times New Roman" w:hAnsi="Times New Roman"/>
      <w:sz w:val="30"/>
      <w:szCs w:val="24"/>
    </w:rPr>
  </w:style>
  <w:style w:type="paragraph" w:customStyle="1" w:styleId="431">
    <w:name w:val="xl26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32">
    <w:name w:val="表格注释"/>
    <w:basedOn w:val="1"/>
    <w:qFormat/>
    <w:uiPriority w:val="0"/>
    <w:pPr>
      <w:widowControl w:val="0"/>
      <w:shd w:val="clear" w:color="auto" w:fill="auto"/>
      <w:tabs>
        <w:tab w:val="clear" w:pos="426"/>
      </w:tabs>
      <w:adjustRightInd/>
      <w:snapToGrid/>
      <w:spacing w:line="300" w:lineRule="exact"/>
      <w:ind w:firstLine="200" w:firstLineChars="200"/>
      <w:jc w:val="left"/>
    </w:pPr>
    <w:rPr>
      <w:rFonts w:ascii="Times New Roman" w:hAnsi="Times New Roman" w:eastAsia="楷体_GB2312"/>
      <w:szCs w:val="21"/>
    </w:rPr>
  </w:style>
  <w:style w:type="paragraph" w:customStyle="1" w:styleId="433">
    <w:name w:val="xl25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color w:val="000000"/>
      <w:sz w:val="24"/>
    </w:rPr>
  </w:style>
  <w:style w:type="paragraph" w:customStyle="1" w:styleId="434">
    <w:name w:val="xl9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2"/>
      <w:szCs w:val="22"/>
    </w:rPr>
  </w:style>
  <w:style w:type="paragraph" w:customStyle="1" w:styleId="435">
    <w:name w:val="2册标题2"/>
    <w:basedOn w:val="1"/>
    <w:next w:val="1"/>
    <w:qFormat/>
    <w:uiPriority w:val="0"/>
    <w:pPr>
      <w:shd w:val="clear" w:color="auto" w:fill="auto"/>
      <w:tabs>
        <w:tab w:val="clear" w:pos="426"/>
      </w:tabs>
      <w:adjustRightInd/>
      <w:snapToGrid/>
      <w:spacing w:beforeLines="50" w:afterLines="50" w:line="300" w:lineRule="auto"/>
      <w:jc w:val="left"/>
      <w:outlineLvl w:val="1"/>
    </w:pPr>
    <w:rPr>
      <w:rFonts w:ascii="Arial" w:hAnsi="Arial" w:eastAsia="黑体" w:cs="Times New Roman"/>
      <w:sz w:val="30"/>
      <w:szCs w:val="30"/>
      <w:lang w:eastAsia="en-US" w:bidi="en-US"/>
    </w:rPr>
  </w:style>
  <w:style w:type="paragraph" w:customStyle="1" w:styleId="436">
    <w:name w:val="xl76"/>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color w:val="000000"/>
      <w:sz w:val="24"/>
    </w:rPr>
  </w:style>
  <w:style w:type="paragraph" w:customStyle="1" w:styleId="437">
    <w:name w:val="CM51"/>
    <w:basedOn w:val="291"/>
    <w:next w:val="291"/>
    <w:qFormat/>
    <w:uiPriority w:val="0"/>
    <w:pPr>
      <w:spacing w:after="103"/>
    </w:pPr>
    <w:rPr>
      <w:rFonts w:ascii="黑体" w:eastAsia="黑体"/>
      <w:color w:val="auto"/>
    </w:rPr>
  </w:style>
  <w:style w:type="paragraph" w:customStyle="1" w:styleId="438">
    <w:name w:val="xl25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39">
    <w:name w:val="样式3"/>
    <w:basedOn w:val="1"/>
    <w:qFormat/>
    <w:uiPriority w:val="0"/>
    <w:pPr>
      <w:ind w:left="1620" w:hanging="420"/>
      <w:outlineLvl w:val="2"/>
    </w:pPr>
    <w:rPr>
      <w:b/>
    </w:rPr>
  </w:style>
  <w:style w:type="paragraph" w:customStyle="1" w:styleId="440">
    <w:name w:val="目录"/>
    <w:basedOn w:val="1"/>
    <w:qFormat/>
    <w:uiPriority w:val="0"/>
    <w:pPr>
      <w:shd w:val="clear" w:color="auto" w:fill="auto"/>
      <w:tabs>
        <w:tab w:val="clear" w:pos="426"/>
      </w:tabs>
      <w:adjustRightInd/>
      <w:snapToGrid/>
      <w:spacing w:line="240" w:lineRule="auto"/>
      <w:jc w:val="center"/>
    </w:pPr>
    <w:rPr>
      <w:rFonts w:hAnsi="Times New Roman" w:cs="Times New Roman"/>
      <w:b/>
      <w:sz w:val="36"/>
      <w:szCs w:val="20"/>
    </w:rPr>
  </w:style>
  <w:style w:type="paragraph" w:customStyle="1" w:styleId="441">
    <w:name w:val="xl23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42">
    <w:name w:val="xl23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43">
    <w:name w:val="font0"/>
    <w:basedOn w:val="1"/>
    <w:qFormat/>
    <w:uiPriority w:val="0"/>
    <w:pPr>
      <w:shd w:val="clear" w:color="auto" w:fill="auto"/>
      <w:tabs>
        <w:tab w:val="clear" w:pos="426"/>
      </w:tabs>
      <w:adjustRightInd/>
      <w:snapToGrid/>
      <w:spacing w:before="100" w:beforeAutospacing="1" w:after="100" w:afterAutospacing="1" w:line="240" w:lineRule="auto"/>
      <w:jc w:val="left"/>
    </w:pPr>
    <w:rPr>
      <w:rFonts w:ascii="Arial" w:hAnsi="Arial" w:cs="Arial"/>
      <w:sz w:val="20"/>
      <w:szCs w:val="20"/>
    </w:rPr>
  </w:style>
  <w:style w:type="paragraph" w:customStyle="1" w:styleId="444">
    <w:name w:val="font5"/>
    <w:basedOn w:val="1"/>
    <w:qFormat/>
    <w:uiPriority w:val="0"/>
    <w:pPr>
      <w:spacing w:before="100" w:beforeAutospacing="1" w:after="100" w:afterAutospacing="1"/>
      <w:jc w:val="left"/>
    </w:pPr>
    <w:rPr>
      <w:sz w:val="18"/>
      <w:szCs w:val="18"/>
    </w:rPr>
  </w:style>
  <w:style w:type="paragraph" w:customStyle="1" w:styleId="445">
    <w:name w:val="xl11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446">
    <w:name w:val="xl70"/>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b/>
      <w:bCs/>
      <w:color w:val="000000"/>
      <w:sz w:val="24"/>
    </w:rPr>
  </w:style>
  <w:style w:type="paragraph" w:customStyle="1" w:styleId="447">
    <w:name w:val="USE 1"/>
    <w:basedOn w:val="1"/>
    <w:qFormat/>
    <w:uiPriority w:val="99"/>
    <w:pPr>
      <w:widowControl w:val="0"/>
      <w:shd w:val="clear" w:color="auto" w:fill="auto"/>
      <w:tabs>
        <w:tab w:val="clear" w:pos="426"/>
      </w:tabs>
      <w:adjustRightInd/>
      <w:snapToGrid/>
      <w:spacing w:line="200" w:lineRule="atLeast"/>
    </w:pPr>
    <w:rPr>
      <w:rFonts w:cs="Times New Roman"/>
      <w:b/>
      <w:kern w:val="2"/>
      <w:sz w:val="24"/>
      <w:szCs w:val="28"/>
    </w:rPr>
  </w:style>
  <w:style w:type="paragraph" w:customStyle="1" w:styleId="448">
    <w:name w:val="样式 USE 1 + 行距: 单倍行距"/>
    <w:basedOn w:val="1"/>
    <w:qFormat/>
    <w:uiPriority w:val="0"/>
    <w:pPr>
      <w:widowControl w:val="0"/>
      <w:shd w:val="clear" w:color="auto" w:fill="auto"/>
      <w:tabs>
        <w:tab w:val="clear" w:pos="426"/>
      </w:tabs>
      <w:adjustRightInd/>
      <w:snapToGrid/>
      <w:spacing w:line="180" w:lineRule="atLeast"/>
      <w:ind w:left="180"/>
      <w:jc w:val="left"/>
    </w:pPr>
    <w:rPr>
      <w:b/>
      <w:bCs/>
      <w:kern w:val="2"/>
      <w:sz w:val="24"/>
      <w:szCs w:val="20"/>
    </w:rPr>
  </w:style>
  <w:style w:type="paragraph" w:customStyle="1" w:styleId="449">
    <w:name w:val="font8"/>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hAnsi="Times New Roman" w:cs="Times New Roman"/>
      <w:sz w:val="18"/>
      <w:szCs w:val="18"/>
    </w:rPr>
  </w:style>
  <w:style w:type="paragraph" w:customStyle="1" w:styleId="450">
    <w:name w:val="xl131"/>
    <w:basedOn w:val="1"/>
    <w:qFormat/>
    <w:uiPriority w:val="0"/>
    <w:pPr>
      <w:pBdr>
        <w:top w:val="single" w:color="auto" w:sz="4" w:space="0"/>
        <w:left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451">
    <w:name w:val="xl89"/>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452">
    <w:name w:val="xl268"/>
    <w:basedOn w:val="1"/>
    <w:qFormat/>
    <w:uiPriority w:val="0"/>
    <w:pP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53">
    <w:name w:val="正文-1级标题-1"/>
    <w:basedOn w:val="1"/>
    <w:next w:val="1"/>
    <w:qFormat/>
    <w:uiPriority w:val="0"/>
    <w:pPr>
      <w:keepNext/>
      <w:tabs>
        <w:tab w:val="left" w:pos="420"/>
        <w:tab w:val="clear" w:pos="426"/>
      </w:tabs>
      <w:spacing w:beforeLines="30" w:afterLines="30"/>
    </w:pPr>
    <w:rPr>
      <w:b/>
      <w:sz w:val="24"/>
      <w:szCs w:val="28"/>
      <w:lang w:val="en-GB"/>
    </w:rPr>
  </w:style>
  <w:style w:type="paragraph" w:customStyle="1" w:styleId="454">
    <w:name w:val="样式 标题 1 + 段前: 0.5 行 段后: 0.5 行"/>
    <w:basedOn w:val="2"/>
    <w:qFormat/>
    <w:uiPriority w:val="0"/>
    <w:pPr>
      <w:keepNext/>
      <w:keepLines/>
      <w:spacing w:beforeLines="50" w:afterLines="50" w:line="578" w:lineRule="auto"/>
      <w:jc w:val="both"/>
    </w:pPr>
    <w:rPr>
      <w:rFonts w:ascii="Times New Roman" w:hAnsi="Times New Roman" w:eastAsia="宋体"/>
      <w:sz w:val="44"/>
      <w:szCs w:val="20"/>
    </w:rPr>
  </w:style>
  <w:style w:type="paragraph" w:customStyle="1" w:styleId="455">
    <w:name w:val="样式2"/>
    <w:basedOn w:val="2"/>
    <w:qFormat/>
    <w:uiPriority w:val="0"/>
    <w:pPr>
      <w:keepNext/>
      <w:keepLines/>
      <w:spacing w:before="0" w:after="0" w:line="578" w:lineRule="auto"/>
      <w:ind w:left="1200" w:hanging="420"/>
      <w:jc w:val="both"/>
    </w:pPr>
    <w:rPr>
      <w:rFonts w:eastAsia="宋体"/>
      <w:szCs w:val="44"/>
    </w:rPr>
  </w:style>
  <w:style w:type="paragraph" w:customStyle="1" w:styleId="456">
    <w:name w:val="xl95"/>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sz w:val="22"/>
      <w:szCs w:val="22"/>
    </w:rPr>
  </w:style>
  <w:style w:type="paragraph" w:customStyle="1" w:styleId="457">
    <w:name w:val="xl22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58">
    <w:name w:val="xl74"/>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pPr>
    <w:rPr>
      <w:color w:val="000000"/>
      <w:sz w:val="24"/>
    </w:rPr>
  </w:style>
  <w:style w:type="paragraph" w:customStyle="1" w:styleId="459">
    <w:name w:val="p0"/>
    <w:basedOn w:val="1"/>
    <w:qFormat/>
    <w:uiPriority w:val="0"/>
    <w:rPr>
      <w:rFonts w:ascii="Calibri" w:hAnsi="Calibri"/>
      <w:szCs w:val="21"/>
    </w:rPr>
  </w:style>
  <w:style w:type="paragraph" w:customStyle="1" w:styleId="460">
    <w:name w:val="xl12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461">
    <w:name w:val="xl133"/>
    <w:basedOn w:val="1"/>
    <w:qFormat/>
    <w:uiPriority w:val="0"/>
    <w:pPr>
      <w:pBdr>
        <w:top w:val="single" w:color="auto" w:sz="4" w:space="0"/>
        <w:bottom w:val="single" w:color="auto" w:sz="4" w:space="0"/>
        <w:right w:val="single" w:color="auto" w:sz="4" w:space="0"/>
      </w:pBdr>
      <w:spacing w:beforeAutospacing="1" w:afterAutospacing="1"/>
      <w:jc w:val="center"/>
      <w:textAlignment w:val="center"/>
    </w:pPr>
    <w:rPr>
      <w:rFonts w:ascii="黑体" w:hAnsi="黑体" w:eastAsia="黑体"/>
      <w:b/>
      <w:bCs/>
      <w:sz w:val="28"/>
      <w:szCs w:val="28"/>
    </w:rPr>
  </w:style>
  <w:style w:type="paragraph" w:customStyle="1" w:styleId="462">
    <w:name w:val="TOC 标题11"/>
    <w:basedOn w:val="2"/>
    <w:next w:val="1"/>
    <w:qFormat/>
    <w:uiPriority w:val="39"/>
    <w:pPr>
      <w:spacing w:before="480" w:after="0" w:line="276" w:lineRule="auto"/>
      <w:jc w:val="left"/>
      <w:outlineLvl w:val="9"/>
    </w:pPr>
    <w:rPr>
      <w:rFonts w:ascii="Cambria" w:hAnsi="Cambria" w:eastAsia="宋体"/>
      <w:color w:val="365F91"/>
      <w:kern w:val="0"/>
    </w:rPr>
  </w:style>
  <w:style w:type="paragraph" w:customStyle="1" w:styleId="463">
    <w:name w:val="xl24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64">
    <w:name w:val="样式 题注 + 行距: 固定值 23 磅"/>
    <w:basedOn w:val="21"/>
    <w:qFormat/>
    <w:uiPriority w:val="0"/>
    <w:pPr>
      <w:widowControl w:val="0"/>
      <w:shd w:val="clear" w:color="auto" w:fill="auto"/>
      <w:adjustRightInd/>
      <w:snapToGrid/>
      <w:spacing w:after="300" w:line="460" w:lineRule="exact"/>
      <w:jc w:val="center"/>
    </w:pPr>
    <w:rPr>
      <w:rFonts w:eastAsia="宋体" w:cs="宋体"/>
      <w:kern w:val="2"/>
      <w:sz w:val="21"/>
      <w:szCs w:val="24"/>
    </w:rPr>
  </w:style>
  <w:style w:type="paragraph" w:customStyle="1" w:styleId="465">
    <w:name w:val="方案标题3"/>
    <w:basedOn w:val="81"/>
    <w:qFormat/>
    <w:uiPriority w:val="0"/>
    <w:pPr>
      <w:spacing w:beforeLines="50" w:afterLines="50" w:line="440" w:lineRule="exact"/>
      <w:ind w:firstLine="200" w:firstLineChars="200"/>
      <w:jc w:val="left"/>
      <w:outlineLvl w:val="2"/>
    </w:pPr>
    <w:rPr>
      <w:rFonts w:ascii="黑体" w:eastAsia="黑体"/>
      <w:color w:val="000000"/>
      <w:sz w:val="28"/>
      <w:szCs w:val="24"/>
    </w:rPr>
  </w:style>
  <w:style w:type="paragraph" w:customStyle="1" w:styleId="466">
    <w:name w:val="font6"/>
    <w:basedOn w:val="1"/>
    <w:qFormat/>
    <w:uiPriority w:val="0"/>
    <w:pPr>
      <w:spacing w:beforeAutospacing="1" w:afterAutospacing="1"/>
      <w:jc w:val="left"/>
    </w:pPr>
    <w:rPr>
      <w:sz w:val="18"/>
      <w:szCs w:val="18"/>
    </w:rPr>
  </w:style>
  <w:style w:type="paragraph" w:customStyle="1" w:styleId="467">
    <w:name w:val="样式 标题 4 + 段前: 0.5 行 段后: 0.5 行1"/>
    <w:basedOn w:val="5"/>
    <w:qFormat/>
    <w:uiPriority w:val="0"/>
    <w:pPr>
      <w:spacing w:beforeLines="50" w:afterLines="50" w:line="377" w:lineRule="auto"/>
      <w:ind w:left="-2" w:leftChars="-1" w:firstLine="569" w:firstLineChars="236"/>
      <w:jc w:val="left"/>
    </w:pPr>
    <w:rPr>
      <w:rFonts w:ascii="Cambria" w:hAnsi="Cambria" w:eastAsia="宋体" w:cs="宋体"/>
      <w:sz w:val="24"/>
      <w:szCs w:val="20"/>
    </w:rPr>
  </w:style>
  <w:style w:type="paragraph" w:customStyle="1" w:styleId="468">
    <w:name w:val="表标题"/>
    <w:basedOn w:val="1"/>
    <w:qFormat/>
    <w:uiPriority w:val="0"/>
    <w:pPr>
      <w:jc w:val="center"/>
    </w:pPr>
    <w:rPr>
      <w:rFonts w:eastAsia="黑体"/>
      <w:b/>
    </w:rPr>
  </w:style>
  <w:style w:type="paragraph" w:customStyle="1" w:styleId="469">
    <w:name w:val="图"/>
    <w:basedOn w:val="1"/>
    <w:qFormat/>
    <w:uiPriority w:val="0"/>
    <w:pPr>
      <w:keepNext/>
      <w:spacing w:before="60" w:after="60" w:line="300" w:lineRule="auto"/>
      <w:jc w:val="center"/>
    </w:pPr>
    <w:rPr>
      <w:spacing w:val="20"/>
      <w:sz w:val="24"/>
      <w:szCs w:val="20"/>
    </w:rPr>
  </w:style>
  <w:style w:type="paragraph" w:customStyle="1" w:styleId="470">
    <w:name w:val="xl24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71">
    <w:name w:val="样式 样式 (符号) 宋体 小四 行距: 1.5 倍行距 首行缩进:  1.5 字符 + 宋体 首行缩进:  2 字符"/>
    <w:basedOn w:val="1"/>
    <w:qFormat/>
    <w:uiPriority w:val="0"/>
    <w:pPr>
      <w:ind w:firstLine="480" w:firstLineChars="200"/>
    </w:pPr>
    <w:rPr>
      <w:sz w:val="24"/>
      <w:szCs w:val="20"/>
    </w:rPr>
  </w:style>
  <w:style w:type="paragraph" w:customStyle="1" w:styleId="472">
    <w:name w:val="font10"/>
    <w:basedOn w:val="1"/>
    <w:qFormat/>
    <w:uiPriority w:val="0"/>
    <w:pPr>
      <w:shd w:val="clear" w:color="auto" w:fill="auto"/>
      <w:tabs>
        <w:tab w:val="clear" w:pos="426"/>
      </w:tabs>
      <w:adjustRightInd/>
      <w:snapToGrid/>
      <w:spacing w:before="100" w:beforeAutospacing="1" w:after="100" w:afterAutospacing="1" w:line="240" w:lineRule="auto"/>
      <w:jc w:val="left"/>
    </w:pPr>
    <w:rPr>
      <w:rFonts w:ascii="Calibri" w:hAnsi="Calibri"/>
      <w:sz w:val="20"/>
      <w:szCs w:val="20"/>
    </w:rPr>
  </w:style>
  <w:style w:type="paragraph" w:customStyle="1" w:styleId="473">
    <w:name w:val="样式 标题 3style3H3h33rd levelLevel 3 Headlevel_3PIM 33l3C..."/>
    <w:basedOn w:val="3"/>
    <w:qFormat/>
    <w:uiPriority w:val="0"/>
    <w:pPr>
      <w:tabs>
        <w:tab w:val="left" w:pos="851"/>
      </w:tabs>
      <w:spacing w:beforeLines="50" w:afterLines="50" w:line="415" w:lineRule="auto"/>
      <w:ind w:left="-4" w:leftChars="-2" w:right="220" w:firstLine="571" w:firstLineChars="203"/>
      <w:jc w:val="left"/>
    </w:pPr>
    <w:rPr>
      <w:rFonts w:ascii="Times New Roman" w:hAnsi="Times New Roman"/>
      <w:color w:val="000000"/>
      <w:szCs w:val="20"/>
    </w:rPr>
  </w:style>
  <w:style w:type="paragraph" w:customStyle="1" w:styleId="474">
    <w:name w:val="xl9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sz w:val="22"/>
      <w:szCs w:val="22"/>
    </w:rPr>
  </w:style>
  <w:style w:type="paragraph" w:customStyle="1" w:styleId="475">
    <w:name w:val="附录"/>
    <w:basedOn w:val="21"/>
    <w:next w:val="1"/>
    <w:qFormat/>
    <w:uiPriority w:val="0"/>
    <w:pPr>
      <w:widowControl w:val="0"/>
      <w:shd w:val="clear" w:color="auto" w:fill="auto"/>
      <w:adjustRightInd/>
      <w:snapToGrid/>
      <w:spacing w:before="152" w:after="160" w:line="240" w:lineRule="auto"/>
    </w:pPr>
    <w:rPr>
      <w:kern w:val="2"/>
    </w:rPr>
  </w:style>
  <w:style w:type="paragraph" w:customStyle="1" w:styleId="476">
    <w:name w:val="xl66"/>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477">
    <w:name w:val="xl26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78">
    <w:name w:val="xl84"/>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479">
    <w:name w:val="xl23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80">
    <w:name w:val="xl24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81">
    <w:name w:val="xl91"/>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000000"/>
      <w:sz w:val="22"/>
      <w:szCs w:val="22"/>
    </w:rPr>
  </w:style>
  <w:style w:type="paragraph" w:customStyle="1" w:styleId="482">
    <w:name w:val="Char Char Char1"/>
    <w:basedOn w:val="1"/>
    <w:qFormat/>
    <w:uiPriority w:val="0"/>
    <w:rPr>
      <w:rFonts w:ascii="Tahoma" w:hAnsi="Tahoma"/>
      <w:sz w:val="24"/>
      <w:szCs w:val="20"/>
    </w:rPr>
  </w:style>
  <w:style w:type="paragraph" w:customStyle="1" w:styleId="483">
    <w:name w:val="修订11"/>
    <w:semiHidden/>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484">
    <w:name w:val="xl11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485">
    <w:name w:val="xl25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rFonts w:ascii="Calibri" w:hAnsi="Calibri"/>
      <w:sz w:val="24"/>
    </w:rPr>
  </w:style>
  <w:style w:type="paragraph" w:customStyle="1" w:styleId="486">
    <w:name w:val="xl12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2"/>
      <w:szCs w:val="22"/>
    </w:rPr>
  </w:style>
  <w:style w:type="paragraph" w:customStyle="1" w:styleId="487">
    <w:name w:val="xl10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488">
    <w:name w:val="方案设计2级标题"/>
    <w:basedOn w:val="188"/>
    <w:qFormat/>
    <w:uiPriority w:val="0"/>
    <w:pPr>
      <w:ind w:left="1402" w:firstLine="0" w:firstLineChars="0"/>
      <w:outlineLvl w:val="1"/>
    </w:pPr>
    <w:rPr>
      <w:rFonts w:ascii="黑体" w:hAnsi="黑体" w:eastAsia="黑体"/>
      <w:sz w:val="32"/>
      <w:szCs w:val="32"/>
    </w:rPr>
  </w:style>
  <w:style w:type="paragraph" w:customStyle="1" w:styleId="489">
    <w:name w:val="方案设计1级标题"/>
    <w:basedOn w:val="188"/>
    <w:qFormat/>
    <w:uiPriority w:val="0"/>
    <w:pPr>
      <w:tabs>
        <w:tab w:val="left" w:pos="840"/>
      </w:tabs>
      <w:ind w:left="840" w:firstLine="0" w:firstLineChars="0"/>
      <w:jc w:val="center"/>
      <w:outlineLvl w:val="0"/>
    </w:pPr>
    <w:rPr>
      <w:rFonts w:ascii="黑体" w:hAnsi="黑体" w:eastAsia="黑体"/>
      <w:sz w:val="44"/>
      <w:szCs w:val="44"/>
    </w:rPr>
  </w:style>
  <w:style w:type="paragraph" w:customStyle="1" w:styleId="490">
    <w:name w:val="xl101"/>
    <w:basedOn w:val="1"/>
    <w:qFormat/>
    <w:uiPriority w:val="0"/>
    <w:pPr>
      <w:spacing w:beforeAutospacing="1" w:afterAutospacing="1"/>
      <w:jc w:val="left"/>
      <w:textAlignment w:val="center"/>
    </w:pPr>
    <w:rPr>
      <w:color w:val="FF0000"/>
      <w:sz w:val="20"/>
      <w:szCs w:val="20"/>
    </w:rPr>
  </w:style>
  <w:style w:type="paragraph" w:customStyle="1" w:styleId="491">
    <w:name w:val="样式4"/>
    <w:basedOn w:val="188"/>
    <w:qFormat/>
    <w:uiPriority w:val="0"/>
    <w:pPr>
      <w:ind w:left="2040" w:firstLine="0" w:firstLineChars="0"/>
      <w:jc w:val="left"/>
      <w:outlineLvl w:val="3"/>
    </w:pPr>
    <w:rPr>
      <w:rFonts w:ascii="宋体" w:hAnsi="宋体"/>
    </w:rPr>
  </w:style>
  <w:style w:type="paragraph" w:customStyle="1" w:styleId="492">
    <w:name w:val="xl23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93">
    <w:name w:val="xl26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94">
    <w:name w:val="xl87"/>
    <w:basedOn w:val="1"/>
    <w:qFormat/>
    <w:uiPriority w:val="0"/>
    <w:pPr>
      <w:spacing w:beforeAutospacing="1" w:afterAutospacing="1"/>
      <w:jc w:val="left"/>
    </w:pPr>
    <w:rPr>
      <w:sz w:val="24"/>
    </w:rPr>
  </w:style>
  <w:style w:type="paragraph" w:customStyle="1" w:styleId="495">
    <w:name w:val="目次、标准名称标题"/>
    <w:basedOn w:val="1"/>
    <w:next w:val="1"/>
    <w:qFormat/>
    <w:uiPriority w:val="0"/>
    <w:pPr>
      <w:shd w:val="clear" w:color="FFFFFF" w:fill="FFFFFF"/>
      <w:spacing w:before="640" w:after="560" w:line="460" w:lineRule="exact"/>
      <w:jc w:val="center"/>
      <w:outlineLvl w:val="0"/>
    </w:pPr>
    <w:rPr>
      <w:rFonts w:ascii="黑体" w:eastAsia="黑体"/>
      <w:sz w:val="32"/>
      <w:szCs w:val="20"/>
    </w:rPr>
  </w:style>
  <w:style w:type="paragraph" w:customStyle="1" w:styleId="496">
    <w:name w:val="倪芳"/>
    <w:basedOn w:val="1"/>
    <w:qFormat/>
    <w:uiPriority w:val="0"/>
    <w:pPr>
      <w:widowControl w:val="0"/>
      <w:shd w:val="clear" w:color="auto" w:fill="auto"/>
      <w:tabs>
        <w:tab w:val="clear" w:pos="426"/>
      </w:tabs>
      <w:adjustRightInd/>
      <w:snapToGrid/>
      <w:spacing w:beforeLines="25" w:afterLines="15" w:line="400" w:lineRule="exact"/>
    </w:pPr>
    <w:rPr>
      <w:rFonts w:hAnsi="Courier New" w:cs="Courier New"/>
      <w:kern w:val="2"/>
      <w:sz w:val="24"/>
      <w:szCs w:val="21"/>
    </w:rPr>
  </w:style>
  <w:style w:type="paragraph" w:customStyle="1" w:styleId="497">
    <w:name w:val="Char Char Char Char Char Char Char1"/>
    <w:basedOn w:val="1"/>
    <w:qFormat/>
    <w:uiPriority w:val="0"/>
    <w:pPr>
      <w:widowControl w:val="0"/>
      <w:shd w:val="clear" w:color="auto" w:fill="auto"/>
      <w:tabs>
        <w:tab w:val="center" w:leader="middleDot" w:pos="9240"/>
        <w:tab w:val="center" w:pos="9520"/>
        <w:tab w:val="clear" w:pos="426"/>
      </w:tabs>
      <w:adjustRightInd/>
      <w:snapToGrid/>
      <w:spacing w:line="240" w:lineRule="auto"/>
    </w:pPr>
    <w:rPr>
      <w:rFonts w:ascii="Times New Roman" w:hAnsi="Times New Roman" w:eastAsia="仿宋_GB2312" w:cs="Times New Roman"/>
      <w:kern w:val="2"/>
      <w:sz w:val="24"/>
    </w:rPr>
  </w:style>
  <w:style w:type="paragraph" w:customStyle="1" w:styleId="498">
    <w:name w:val="xl10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color w:val="FF0000"/>
      <w:sz w:val="22"/>
      <w:szCs w:val="22"/>
    </w:rPr>
  </w:style>
  <w:style w:type="paragraph" w:customStyle="1" w:styleId="499">
    <w:name w:val="xl24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00">
    <w:name w:val="xl229"/>
    <w:basedOn w:val="1"/>
    <w:qFormat/>
    <w:uiPriority w:val="0"/>
    <w:pPr>
      <w:pBdr>
        <w:left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01">
    <w:name w:val="USE 2"/>
    <w:basedOn w:val="1"/>
    <w:qFormat/>
    <w:uiPriority w:val="0"/>
    <w:pPr>
      <w:widowControl w:val="0"/>
      <w:shd w:val="clear" w:color="auto" w:fill="auto"/>
      <w:tabs>
        <w:tab w:val="clear" w:pos="426"/>
      </w:tabs>
      <w:adjustRightInd/>
      <w:snapToGrid/>
      <w:ind w:left="4736" w:hanging="3836"/>
      <w:jc w:val="left"/>
    </w:pPr>
    <w:rPr>
      <w:rFonts w:cs="Times New Roman"/>
      <w:kern w:val="2"/>
      <w:sz w:val="24"/>
      <w:szCs w:val="20"/>
    </w:rPr>
  </w:style>
  <w:style w:type="paragraph" w:customStyle="1" w:styleId="502">
    <w:name w:val="xl23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503">
    <w:name w:val="图目录4"/>
    <w:basedOn w:val="1"/>
    <w:next w:val="1"/>
    <w:qFormat/>
    <w:uiPriority w:val="0"/>
    <w:pPr>
      <w:tabs>
        <w:tab w:val="left" w:pos="737"/>
      </w:tabs>
      <w:ind w:left="737" w:hanging="448"/>
      <w:jc w:val="center"/>
      <w:textAlignment w:val="baseline"/>
    </w:pPr>
    <w:rPr>
      <w:szCs w:val="20"/>
    </w:rPr>
  </w:style>
  <w:style w:type="paragraph" w:customStyle="1" w:styleId="504">
    <w:name w:val="xl25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505">
    <w:name w:val="下级参数内容"/>
    <w:basedOn w:val="188"/>
    <w:qFormat/>
    <w:uiPriority w:val="0"/>
    <w:pPr>
      <w:ind w:left="1134" w:firstLine="0" w:firstLineChars="0"/>
    </w:pPr>
    <w:rPr>
      <w:rFonts w:ascii="仿宋" w:hAnsi="仿宋"/>
    </w:rPr>
  </w:style>
  <w:style w:type="paragraph" w:customStyle="1" w:styleId="506">
    <w:name w:val="xl123"/>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507">
    <w:name w:val="xl13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2"/>
      <w:szCs w:val="22"/>
    </w:rPr>
  </w:style>
  <w:style w:type="paragraph" w:customStyle="1" w:styleId="508">
    <w:name w:val="xl11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509">
    <w:name w:val="xl26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510">
    <w:name w:val="xl75"/>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b/>
      <w:bCs/>
      <w:color w:val="000000"/>
      <w:sz w:val="24"/>
    </w:rPr>
  </w:style>
  <w:style w:type="paragraph" w:customStyle="1" w:styleId="511">
    <w:name w:val="xl9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512">
    <w:name w:val="表1黑体居中"/>
    <w:basedOn w:val="1"/>
    <w:qFormat/>
    <w:uiPriority w:val="0"/>
    <w:pPr>
      <w:ind w:firstLine="435"/>
      <w:jc w:val="center"/>
      <w:textAlignment w:val="baseline"/>
    </w:pPr>
    <w:rPr>
      <w:rFonts w:ascii="黑体" w:eastAsia="黑体"/>
      <w:szCs w:val="21"/>
    </w:rPr>
  </w:style>
  <w:style w:type="paragraph" w:customStyle="1" w:styleId="513">
    <w:name w:val="Char Char"/>
    <w:basedOn w:val="1"/>
    <w:qFormat/>
    <w:uiPriority w:val="0"/>
    <w:rPr>
      <w:rFonts w:ascii="Tahoma" w:hAnsi="Tahoma"/>
      <w:sz w:val="24"/>
      <w:szCs w:val="20"/>
    </w:rPr>
  </w:style>
  <w:style w:type="paragraph" w:customStyle="1" w:styleId="514">
    <w:name w:val="Char Char Char"/>
    <w:basedOn w:val="1"/>
    <w:qFormat/>
    <w:uiPriority w:val="0"/>
    <w:rPr>
      <w:rFonts w:ascii="Tahoma" w:hAnsi="Tahoma"/>
      <w:sz w:val="24"/>
      <w:szCs w:val="20"/>
    </w:rPr>
  </w:style>
  <w:style w:type="paragraph" w:customStyle="1" w:styleId="515">
    <w:name w:val="样式41"/>
    <w:basedOn w:val="1"/>
    <w:qFormat/>
    <w:uiPriority w:val="0"/>
    <w:pPr>
      <w:tabs>
        <w:tab w:val="left" w:pos="945"/>
        <w:tab w:val="left" w:pos="2040"/>
      </w:tabs>
      <w:ind w:left="2040" w:leftChars="800" w:hanging="360" w:hangingChars="200"/>
    </w:pPr>
    <w:rPr>
      <w:b/>
      <w:color w:val="000000"/>
      <w:sz w:val="24"/>
      <w:szCs w:val="20"/>
    </w:rPr>
  </w:style>
  <w:style w:type="paragraph" w:customStyle="1" w:styleId="516">
    <w:name w:val="USE 5"/>
    <w:basedOn w:val="1"/>
    <w:qFormat/>
    <w:uiPriority w:val="0"/>
    <w:pPr>
      <w:widowControl w:val="0"/>
      <w:shd w:val="clear" w:color="auto" w:fill="auto"/>
      <w:tabs>
        <w:tab w:val="clear" w:pos="426"/>
      </w:tabs>
      <w:adjustRightInd/>
      <w:snapToGrid/>
      <w:ind w:left="397" w:hanging="340"/>
      <w:jc w:val="left"/>
    </w:pPr>
    <w:rPr>
      <w:rFonts w:cs="Times New Roman"/>
      <w:kern w:val="2"/>
      <w:sz w:val="24"/>
    </w:rPr>
  </w:style>
  <w:style w:type="paragraph" w:customStyle="1" w:styleId="517">
    <w:name w:val="xl9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sz w:val="22"/>
      <w:szCs w:val="22"/>
    </w:rPr>
  </w:style>
  <w:style w:type="paragraph" w:customStyle="1" w:styleId="518">
    <w:name w:val="xl24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19">
    <w:name w:val="xl24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20">
    <w:name w:val="xl12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521">
    <w:name w:val="p9"/>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hAnsi="Times New Roman" w:eastAsia="Arial Unicode MS" w:cs="Arial Unicode MS"/>
      <w:color w:val="000000"/>
      <w:sz w:val="18"/>
      <w:szCs w:val="18"/>
    </w:rPr>
  </w:style>
  <w:style w:type="paragraph" w:customStyle="1" w:styleId="522">
    <w:name w:val="xl23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523">
    <w:name w:val="xl85"/>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524">
    <w:name w:val="Bulleted Items--Level 2"/>
    <w:basedOn w:val="1"/>
    <w:qFormat/>
    <w:uiPriority w:val="0"/>
    <w:pPr>
      <w:tabs>
        <w:tab w:val="left" w:pos="1771"/>
        <w:tab w:val="left" w:pos="2520"/>
      </w:tabs>
      <w:spacing w:line="280" w:lineRule="exact"/>
      <w:ind w:left="2520"/>
    </w:pPr>
    <w:rPr>
      <w:color w:val="000000"/>
      <w:sz w:val="22"/>
      <w:szCs w:val="20"/>
      <w:lang w:eastAsia="en-US"/>
    </w:rPr>
  </w:style>
  <w:style w:type="paragraph" w:customStyle="1" w:styleId="525">
    <w:name w:val="xl126"/>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526">
    <w:name w:val="USE 3"/>
    <w:basedOn w:val="1"/>
    <w:qFormat/>
    <w:uiPriority w:val="0"/>
    <w:pPr>
      <w:widowControl w:val="0"/>
      <w:shd w:val="clear" w:color="auto" w:fill="auto"/>
      <w:tabs>
        <w:tab w:val="clear" w:pos="426"/>
      </w:tabs>
      <w:adjustRightInd/>
      <w:snapToGrid/>
      <w:ind w:left="890" w:hanging="170"/>
      <w:jc w:val="left"/>
    </w:pPr>
    <w:rPr>
      <w:rFonts w:cs="Times New Roman"/>
      <w:kern w:val="2"/>
      <w:sz w:val="24"/>
      <w:szCs w:val="20"/>
    </w:rPr>
  </w:style>
  <w:style w:type="paragraph" w:customStyle="1" w:styleId="527">
    <w:name w:val="xl12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4"/>
    </w:rPr>
  </w:style>
  <w:style w:type="paragraph" w:customStyle="1" w:styleId="528">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table" w:customStyle="1" w:styleId="529">
    <w:name w:val="Table Normal"/>
    <w:qFormat/>
    <w:uiPriority w:val="0"/>
    <w:pPr>
      <w:spacing w:line="360" w:lineRule="auto"/>
      <w:jc w:val="both"/>
    </w:pPr>
    <w:tblPr>
      <w:tblCellMar>
        <w:top w:w="0" w:type="dxa"/>
        <w:left w:w="0" w:type="dxa"/>
        <w:bottom w:w="0" w:type="dxa"/>
        <w:right w:w="0" w:type="dxa"/>
      </w:tblCellMar>
    </w:tblPr>
  </w:style>
  <w:style w:type="table" w:customStyle="1" w:styleId="530">
    <w:name w:val="网格型1"/>
    <w:basedOn w:val="85"/>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1">
    <w:name w:val="Table Normal1"/>
    <w:qFormat/>
    <w:uiPriority w:val="0"/>
    <w:pPr>
      <w:spacing w:line="360" w:lineRule="auto"/>
      <w:jc w:val="both"/>
    </w:pPr>
    <w:tblPr>
      <w:tblCellMar>
        <w:top w:w="0" w:type="dxa"/>
        <w:left w:w="0" w:type="dxa"/>
        <w:bottom w:w="0" w:type="dxa"/>
        <w:right w:w="0" w:type="dxa"/>
      </w:tblCellMar>
    </w:tblPr>
  </w:style>
  <w:style w:type="table" w:customStyle="1" w:styleId="532">
    <w:name w:val="Table Normal11"/>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533">
    <w:name w:val="Other|1"/>
    <w:basedOn w:val="1"/>
    <w:qFormat/>
    <w:uiPriority w:val="0"/>
    <w:pPr>
      <w:spacing w:line="310" w:lineRule="auto"/>
    </w:pPr>
    <w:rPr>
      <w:sz w:val="18"/>
      <w:szCs w:val="18"/>
      <w:lang w:val="zh-TW" w:eastAsia="zh-TW" w:bidi="zh-TW"/>
    </w:rPr>
  </w:style>
  <w:style w:type="paragraph" w:customStyle="1" w:styleId="534">
    <w:name w:val="Body text|1"/>
    <w:basedOn w:val="1"/>
    <w:link w:val="535"/>
    <w:qFormat/>
    <w:uiPriority w:val="0"/>
    <w:pPr>
      <w:spacing w:line="310" w:lineRule="auto"/>
    </w:pPr>
    <w:rPr>
      <w:sz w:val="18"/>
      <w:szCs w:val="18"/>
      <w:lang w:val="zh-TW" w:eastAsia="zh-TW" w:bidi="zh-TW"/>
    </w:rPr>
  </w:style>
  <w:style w:type="character" w:customStyle="1" w:styleId="535">
    <w:name w:val="Body text|1_"/>
    <w:link w:val="534"/>
    <w:qFormat/>
    <w:uiPriority w:val="0"/>
    <w:rPr>
      <w:rFonts w:ascii="宋体" w:hAnsi="宋体" w:cs="宋体"/>
      <w:sz w:val="18"/>
      <w:szCs w:val="18"/>
      <w:shd w:val="clear" w:color="auto" w:fill="FFFFFF"/>
      <w:lang w:val="zh-TW" w:eastAsia="zh-TW" w:bidi="zh-TW"/>
    </w:rPr>
  </w:style>
  <w:style w:type="paragraph" w:customStyle="1" w:styleId="536">
    <w:name w:val="样式 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7">
    <w:name w:val="样式 312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38">
    <w:name w:val="样式 315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39">
    <w:name w:val="样式 316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40">
    <w:name w:val="样式 320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41">
    <w:name w:val="样式 36 11 磅"/>
    <w:qFormat/>
    <w:uiPriority w:val="0"/>
    <w:pPr>
      <w:spacing w:after="160" w:line="259" w:lineRule="auto"/>
    </w:pPr>
    <w:rPr>
      <w:rFonts w:ascii="Calibri" w:hAnsi="Calibri" w:eastAsia="Calibri" w:cs="Calibri"/>
      <w:color w:val="000000"/>
      <w:kern w:val="2"/>
      <w:sz w:val="22"/>
      <w:szCs w:val="22"/>
      <w:lang w:val="en-US" w:eastAsia="en-US" w:bidi="ar-SA"/>
    </w:rPr>
  </w:style>
  <w:style w:type="character" w:customStyle="1" w:styleId="542">
    <w:name w:val="页脚 字符1"/>
    <w:qFormat/>
    <w:uiPriority w:val="0"/>
    <w:rPr>
      <w:kern w:val="2"/>
      <w:sz w:val="18"/>
      <w:szCs w:val="18"/>
      <w:shd w:val="clear" w:color="auto" w:fill="FFFFFF"/>
    </w:rPr>
  </w:style>
  <w:style w:type="paragraph" w:customStyle="1" w:styleId="543">
    <w:name w:val="修订2"/>
    <w:hidden/>
    <w:semiHidden/>
    <w:qFormat/>
    <w:uiPriority w:val="99"/>
    <w:rPr>
      <w:rFonts w:ascii="宋体" w:hAnsi="宋体" w:eastAsia="宋体" w:cs="宋体"/>
      <w:sz w:val="21"/>
      <w:szCs w:val="24"/>
      <w:lang w:val="en-US" w:eastAsia="zh-CN" w:bidi="ar-SA"/>
    </w:rPr>
  </w:style>
  <w:style w:type="paragraph" w:customStyle="1" w:styleId="544">
    <w:name w:val="彩色列表 - 强调文字颜色 111"/>
    <w:basedOn w:val="1"/>
    <w:qFormat/>
    <w:uiPriority w:val="0"/>
    <w:pPr>
      <w:widowControl w:val="0"/>
      <w:shd w:val="clear" w:color="auto" w:fill="auto"/>
      <w:tabs>
        <w:tab w:val="clear" w:pos="426"/>
      </w:tabs>
      <w:adjustRightInd/>
      <w:snapToGrid/>
      <w:spacing w:line="240" w:lineRule="auto"/>
      <w:ind w:firstLine="420" w:firstLineChars="200"/>
    </w:pPr>
    <w:rPr>
      <w:rFonts w:ascii="Times New Roman" w:hAnsi="Times New Roman" w:eastAsia="仿宋体" w:cs="Times New Roman"/>
      <w:kern w:val="2"/>
      <w:sz w:val="32"/>
      <w:szCs w:val="32"/>
    </w:rPr>
  </w:style>
  <w:style w:type="paragraph" w:customStyle="1" w:styleId="545">
    <w:name w:val="正文 New New New New New"/>
    <w:basedOn w:val="1"/>
    <w:qFormat/>
    <w:uiPriority w:val="0"/>
    <w:pPr>
      <w:widowControl w:val="0"/>
      <w:shd w:val="clear" w:color="auto" w:fill="auto"/>
      <w:tabs>
        <w:tab w:val="clear" w:pos="426"/>
      </w:tabs>
      <w:adjustRightInd/>
      <w:snapToGrid/>
      <w:spacing w:line="240" w:lineRule="auto"/>
    </w:pPr>
    <w:rPr>
      <w:rFonts w:ascii="Times New Roman" w:hAnsi="Times New Roman" w:eastAsia="仿宋体" w:cs="Times New Roman"/>
      <w:kern w:val="2"/>
      <w:sz w:val="32"/>
      <w:szCs w:val="32"/>
    </w:rPr>
  </w:style>
  <w:style w:type="character" w:customStyle="1" w:styleId="546">
    <w:name w:val="批注文字 字符1"/>
    <w:basedOn w:val="130"/>
    <w:qFormat/>
    <w:uiPriority w:val="0"/>
    <w:rPr>
      <w:rFonts w:eastAsia="仿宋体"/>
      <w:kern w:val="2"/>
      <w:sz w:val="32"/>
      <w:szCs w:val="32"/>
    </w:rPr>
  </w:style>
  <w:style w:type="paragraph" w:customStyle="1" w:styleId="547">
    <w:name w:val="正文缩进_0"/>
    <w:basedOn w:val="548"/>
    <w:qFormat/>
    <w:uiPriority w:val="0"/>
    <w:pPr>
      <w:widowControl/>
      <w:ind w:firstLine="420"/>
      <w:jc w:val="left"/>
    </w:pPr>
    <w:rPr>
      <w:rFonts w:ascii="Times New Roman" w:hAnsi="Times New Roman"/>
      <w:kern w:val="0"/>
      <w:sz w:val="20"/>
      <w:szCs w:val="20"/>
    </w:rPr>
  </w:style>
  <w:style w:type="paragraph" w:customStyle="1" w:styleId="548">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9">
    <w:name w:val="标题 4_0"/>
    <w:basedOn w:val="548"/>
    <w:next w:val="547"/>
    <w:qFormat/>
    <w:uiPriority w:val="0"/>
    <w:pPr>
      <w:autoSpaceDE w:val="0"/>
      <w:autoSpaceDN w:val="0"/>
      <w:adjustRightInd w:val="0"/>
      <w:snapToGrid w:val="0"/>
      <w:spacing w:line="360" w:lineRule="auto"/>
      <w:outlineLvl w:val="3"/>
    </w:pPr>
    <w:rPr>
      <w:rFonts w:ascii="宋体" w:hAnsi="Arial" w:cs="宋体"/>
      <w:color w:val="000000"/>
      <w:kern w:val="0"/>
      <w:szCs w:val="20"/>
    </w:rPr>
  </w:style>
  <w:style w:type="paragraph" w:customStyle="1" w:styleId="550">
    <w:name w:val="评价"/>
    <w:basedOn w:val="1"/>
    <w:qFormat/>
    <w:uiPriority w:val="0"/>
    <w:pPr>
      <w:widowControl w:val="0"/>
      <w:shd w:val="clear" w:color="auto" w:fill="auto"/>
      <w:tabs>
        <w:tab w:val="clear" w:pos="426"/>
      </w:tabs>
      <w:adjustRightInd/>
      <w:snapToGrid/>
      <w:spacing w:afterLines="20" w:line="240" w:lineRule="auto"/>
      <w:ind w:firstLine="1446" w:firstLineChars="200"/>
    </w:pPr>
    <w:rPr>
      <w:rFonts w:ascii="Calibri" w:hAnsi="Calibri" w:cs="Times New Roman"/>
      <w:kern w:val="2"/>
      <w:sz w:val="24"/>
    </w:rPr>
  </w:style>
  <w:style w:type="paragraph" w:customStyle="1" w:styleId="551">
    <w:name w:val="标题 21"/>
    <w:basedOn w:val="1"/>
    <w:next w:val="1"/>
    <w:unhideWhenUsed/>
    <w:qFormat/>
    <w:uiPriority w:val="9"/>
    <w:pPr>
      <w:keepNext/>
      <w:keepLines/>
      <w:shd w:val="clear" w:color="auto" w:fill="auto"/>
      <w:tabs>
        <w:tab w:val="clear" w:pos="426"/>
      </w:tabs>
      <w:adjustRightInd/>
      <w:snapToGrid/>
      <w:spacing w:before="260" w:after="260" w:line="416" w:lineRule="auto"/>
      <w:jc w:val="left"/>
      <w:outlineLvl w:val="1"/>
    </w:pPr>
    <w:rPr>
      <w:rFonts w:ascii="Cambria" w:hAnsi="Cambria" w:cs="Times New Roman"/>
      <w:b/>
      <w:bCs/>
      <w:kern w:val="2"/>
      <w:sz w:val="32"/>
      <w:szCs w:val="32"/>
    </w:rPr>
  </w:style>
  <w:style w:type="character" w:customStyle="1" w:styleId="552">
    <w:name w:val="标题 2 Char1"/>
    <w:semiHidden/>
    <w:qFormat/>
    <w:uiPriority w:val="0"/>
    <w:rPr>
      <w:rFonts w:ascii="Calibri Light" w:hAnsi="Calibri Light" w:eastAsia="宋体" w:cs="Times New Roman"/>
      <w:b/>
      <w:bCs/>
      <w:kern w:val="2"/>
      <w:sz w:val="32"/>
      <w:szCs w:val="32"/>
    </w:rPr>
  </w:style>
  <w:style w:type="table" w:customStyle="1" w:styleId="553">
    <w:name w:val="网格型2"/>
    <w:basedOn w:val="85"/>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4">
    <w:name w:val="修订3"/>
    <w:hidden/>
    <w:semiHidden/>
    <w:qFormat/>
    <w:uiPriority w:val="99"/>
    <w:rPr>
      <w:rFonts w:ascii="宋体" w:hAnsi="宋体" w:eastAsia="宋体" w:cs="宋体"/>
      <w:sz w:val="21"/>
      <w:szCs w:val="24"/>
      <w:lang w:val="en-US" w:eastAsia="zh-CN" w:bidi="ar-SA"/>
    </w:rPr>
  </w:style>
  <w:style w:type="paragraph" w:customStyle="1" w:styleId="555">
    <w:name w:val="修订4"/>
    <w:hidden/>
    <w:semiHidden/>
    <w:qFormat/>
    <w:uiPriority w:val="99"/>
    <w:rPr>
      <w:rFonts w:ascii="宋体" w:hAnsi="宋体" w:eastAsia="宋体" w:cs="宋体"/>
      <w:sz w:val="21"/>
      <w:szCs w:val="24"/>
      <w:lang w:val="en-US" w:eastAsia="zh-CN" w:bidi="ar-SA"/>
    </w:rPr>
  </w:style>
  <w:style w:type="character" w:customStyle="1" w:styleId="556">
    <w:name w:val="未处理的提及2"/>
    <w:basedOn w:val="13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23FC6D-D44D-497D-A510-25ABBEED436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81</Pages>
  <Words>46345</Words>
  <Characters>52125</Characters>
  <Lines>403</Lines>
  <Paragraphs>113</Paragraphs>
  <TotalTime>1</TotalTime>
  <ScaleCrop>false</ScaleCrop>
  <LinksUpToDate>false</LinksUpToDate>
  <CharactersWithSpaces>53287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2021-12-21T03:00:00Z</dcterms:created>
  <dc:creator>thsware</dc:creator>
  <cp:lastModifiedBy>微信用户</cp:lastModifiedBy>
  <cp:lastPrinted>2024-09-27T08:00:00Z</cp:lastPrinted>
  <dcterms:modified xsi:type="dcterms:W3CDTF">2024-09-29T01:18:15Z</dcterms:modified>
  <dc:title>招  标　文　件</dc:title>
  <cp:revision>478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1AEED89580B44A459138D6F55480AAB3_13</vt:lpwstr>
  </property>
</Properties>
</file>