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rFonts w:hint="eastAsia"/>
          <w:b/>
          <w:u w:val="single"/>
        </w:rPr>
        <w:t>SSZX2024-382</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深圳海关动植物检验检疫技术中心“荧光PCR仪”设备采购项目</w:t>
      </w: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8</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14</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19</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20</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22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29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29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30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30</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31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59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60</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69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71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72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74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75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77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79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80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81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84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85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86</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87</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87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91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95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96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97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100</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101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104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104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107</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pPr>
      <w:r>
        <w:rPr>
          <w:smallCaps/>
        </w:rPr>
        <w:fldChar w:fldCharType="end"/>
      </w:r>
    </w:p>
    <w:p>
      <w:pPr>
        <w:tabs>
          <w:tab w:val="clear" w:pos="426"/>
        </w:tabs>
        <w:spacing w:line="240" w:lineRule="auto"/>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SSZX2024-382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深圳海关动植物检验检疫技术中心“荧光PCR仪”设备采购项目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320" w:lineRule="exact"/>
            </w:pPr>
            <w:r>
              <w:rPr>
                <w:rFonts w:hint="eastAsia"/>
              </w:rPr>
              <w:t>总预算金额：525.000000万元（人民币伍佰贰拾伍万元整）</w:t>
            </w:r>
          </w:p>
          <w:p>
            <w:pPr>
              <w:tabs>
                <w:tab w:val="clear" w:pos="426"/>
              </w:tabs>
              <w:adjustRightInd/>
              <w:snapToGrid/>
              <w:spacing w:line="320" w:lineRule="exact"/>
            </w:pPr>
            <w:r>
              <w:rPr>
                <w:rFonts w:hint="eastAsia"/>
              </w:rPr>
              <w:t>01包：280.000000万元（人民币贰佰捌拾万元整）</w:t>
            </w:r>
          </w:p>
          <w:p>
            <w:pPr>
              <w:tabs>
                <w:tab w:val="clear" w:pos="426"/>
              </w:tabs>
              <w:adjustRightInd/>
              <w:snapToGrid/>
              <w:spacing w:line="320" w:lineRule="exact"/>
            </w:pPr>
            <w:r>
              <w:rPr>
                <w:rFonts w:hint="eastAsia"/>
              </w:rPr>
              <w:t>02包：245.000000万元（人民币贰佰肆拾伍万元整）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pPr>
            <w:r>
              <w:rPr>
                <w:rFonts w:hint="eastAsia"/>
              </w:rPr>
              <w:t>总限价：525.000000万元（人民币伍佰贰拾伍万元整）</w:t>
            </w:r>
          </w:p>
          <w:p>
            <w:pPr>
              <w:tabs>
                <w:tab w:val="clear" w:pos="426"/>
              </w:tabs>
              <w:adjustRightInd/>
              <w:snapToGrid/>
              <w:spacing w:line="320" w:lineRule="exact"/>
            </w:pPr>
            <w:r>
              <w:rPr>
                <w:rFonts w:hint="eastAsia"/>
              </w:rPr>
              <w:t>01包限价：280.000000万元（人民币贰佰捌拾万元整）</w:t>
            </w:r>
          </w:p>
          <w:p>
            <w:pPr>
              <w:tabs>
                <w:tab w:val="clear" w:pos="426"/>
              </w:tabs>
              <w:adjustRightInd/>
              <w:snapToGrid/>
              <w:spacing w:line="320" w:lineRule="exact"/>
            </w:pPr>
            <w:r>
              <w:rPr>
                <w:rFonts w:hint="eastAsia"/>
              </w:rPr>
              <w:t>02包限价：245.000000万元（人民币贰佰肆拾伍万元整）</w:t>
            </w:r>
          </w:p>
          <w:p>
            <w:pPr>
              <w:tabs>
                <w:tab w:val="clear" w:pos="426"/>
              </w:tabs>
              <w:adjustRightInd/>
              <w:snapToGrid/>
              <w:spacing w:line="320" w:lineRule="exact"/>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pPr>
            <w:r>
              <w:rPr>
                <w:rFonts w:hint="eastAsia"/>
              </w:rPr>
              <w:t>1.投标报价以人民币元为计算单位。</w:t>
            </w:r>
          </w:p>
          <w:p>
            <w:pPr>
              <w:tabs>
                <w:tab w:val="clear" w:pos="426"/>
              </w:tabs>
              <w:adjustRightInd/>
              <w:snapToGrid/>
              <w:spacing w:line="320" w:lineRule="exact"/>
            </w:pPr>
            <w:r>
              <w:rPr>
                <w:rFonts w:hint="eastAsia"/>
              </w:rPr>
              <w:t>2.本项目投标上限金额为本项目预算金额（包含分项预算、总预算金额）。</w:t>
            </w:r>
          </w:p>
          <w:p>
            <w:pPr>
              <w:tabs>
                <w:tab w:val="clear" w:pos="426"/>
              </w:tabs>
              <w:adjustRightInd/>
              <w:snapToGrid/>
              <w:spacing w:line="320" w:lineRule="exact"/>
            </w:pPr>
            <w:r>
              <w:rPr>
                <w:rFonts w:hint="eastAsia"/>
              </w:rPr>
              <w:t>3投标人报价应包含合同期内所有内容所产生的费用。</w:t>
            </w:r>
          </w:p>
          <w:p>
            <w:pPr>
              <w:tabs>
                <w:tab w:val="clear" w:pos="426"/>
              </w:tabs>
              <w:adjustRightInd/>
              <w:snapToGrid/>
              <w:spacing w:line="320" w:lineRule="exact"/>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p>
            <w:pPr>
              <w:tabs>
                <w:tab w:val="clear" w:pos="426"/>
              </w:tabs>
              <w:adjustRightInd/>
              <w:snapToGrid/>
              <w:spacing w:line="240" w:lineRule="auto"/>
              <w:rPr>
                <w:rFonts w:asciiTheme="minorEastAsia" w:hAnsiTheme="minorEastAsia" w:eastAsiaTheme="minorEastAsia"/>
                <w:szCs w:val="21"/>
              </w:rPr>
            </w:pPr>
            <w:r>
              <w:rPr>
                <w:rFonts w:hint="eastAsia"/>
                <w:b/>
                <w:bCs/>
              </w:rPr>
              <w:t>备注：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前17：30点前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采购代理机构以各包中标金额为计算基数，按差额定率累进法计算，向各包中标供应商收取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265483798"/>
      <w:bookmarkStart w:id="4" w:name="_Toc432592813"/>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深圳海关动植物检验检疫技术中心“荧光PCR仪”设备采购项目的潜在投标人应在深圳市罗湖区清水河街道清水河社区清水河一路112号罗湖投资控股大厦裙楼401获取招标文件，并于202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w:t>
      </w:r>
      <w:r>
        <w:rPr>
          <w:rFonts w:hint="eastAsia" w:cs="Times New Roman"/>
          <w:kern w:val="2"/>
          <w:szCs w:val="21"/>
          <w:lang w:val="en-US" w:eastAsia="zh-CN"/>
        </w:rPr>
        <w:t>11</w:t>
      </w:r>
      <w:r>
        <w:rPr>
          <w:rFonts w:hint="eastAsia" w:cs="Times New Roman"/>
          <w:kern w:val="2"/>
          <w:szCs w:val="21"/>
        </w:rPr>
        <w:t>月</w:t>
      </w:r>
      <w:r>
        <w:rPr>
          <w:rFonts w:hint="eastAsia" w:cs="Times New Roman"/>
          <w:kern w:val="2"/>
          <w:szCs w:val="21"/>
          <w:lang w:val="en-US" w:eastAsia="zh-CN"/>
        </w:rPr>
        <w:t>29</w:t>
      </w:r>
      <w:r>
        <w:rPr>
          <w:rFonts w:hint="eastAsia" w:cs="Times New Roman"/>
          <w:bCs/>
          <w:kern w:val="2"/>
          <w:szCs w:val="21"/>
        </w:rPr>
        <w:t>日</w:t>
      </w:r>
      <w:r>
        <w:rPr>
          <w:rFonts w:hint="eastAsia" w:cs="Times New Roman"/>
          <w:bCs/>
          <w:kern w:val="2"/>
          <w:szCs w:val="21"/>
          <w:lang w:val="en-US" w:eastAsia="zh-CN"/>
        </w:rPr>
        <w:t>09</w:t>
      </w:r>
      <w:r>
        <w:rPr>
          <w:rFonts w:hint="eastAsia" w:cs="Times New Roman"/>
          <w:bCs/>
          <w:kern w:val="2"/>
          <w:szCs w:val="21"/>
        </w:rPr>
        <w:t>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cs="Times New Roman"/>
          <w:kern w:val="2"/>
          <w:szCs w:val="21"/>
        </w:rPr>
      </w:pPr>
    </w:p>
    <w:p>
      <w:pPr>
        <w:spacing w:line="240" w:lineRule="auto"/>
        <w:rPr>
          <w:b/>
          <w:kern w:val="2"/>
          <w:szCs w:val="21"/>
        </w:rPr>
      </w:pPr>
      <w:bookmarkStart w:id="7" w:name="_Toc35393621"/>
      <w:bookmarkStart w:id="8" w:name="_Toc28359002"/>
      <w:bookmarkStart w:id="9" w:name="_Toc28359079"/>
      <w:bookmarkStart w:id="10" w:name="_Toc35393790"/>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项目编号：SSZX2024-382</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项目名称：深圳海关动植物检验检疫技术中心“荧光PCR仪”设备采购项目</w:t>
      </w:r>
    </w:p>
    <w:bookmarkEnd w:id="11"/>
    <w:p>
      <w:pPr>
        <w:widowControl w:val="0"/>
        <w:shd w:val="clear" w:color="auto" w:fill="auto"/>
        <w:tabs>
          <w:tab w:val="clear" w:pos="426"/>
        </w:tabs>
        <w:adjustRightInd/>
        <w:snapToGrid/>
        <w:spacing w:line="240" w:lineRule="auto"/>
        <w:ind w:firstLine="420" w:firstLineChars="200"/>
        <w:rPr>
          <w:szCs w:val="21"/>
        </w:rPr>
      </w:pPr>
      <w:r>
        <w:rPr>
          <w:rFonts w:hint="eastAsia" w:cs="Times New Roman"/>
          <w:kern w:val="2"/>
          <w:szCs w:val="21"/>
        </w:rPr>
        <w:t>预算金额：525.000000万元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最高限价：525.000000万元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采购需求：</w:t>
      </w:r>
    </w:p>
    <w:tbl>
      <w:tblPr>
        <w:tblStyle w:val="85"/>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4"/>
        <w:gridCol w:w="1249"/>
        <w:gridCol w:w="1514"/>
        <w:gridCol w:w="708"/>
        <w:gridCol w:w="708"/>
        <w:gridCol w:w="1698"/>
        <w:gridCol w:w="1484"/>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包号</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标的序号</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标的名称</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数量</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szCs w:val="21"/>
              </w:rPr>
              <w:t>简要技术需求</w:t>
            </w:r>
          </w:p>
        </w:tc>
        <w:tc>
          <w:tcPr>
            <w:tcW w:w="7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预算金额</w:t>
            </w:r>
          </w:p>
          <w:p>
            <w:pPr>
              <w:spacing w:line="240" w:lineRule="auto"/>
              <w:jc w:val="center"/>
              <w:rPr>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restart"/>
            <w:tcBorders>
              <w:top w:val="single" w:color="auto" w:sz="4" w:space="0"/>
              <w:left w:val="single" w:color="auto" w:sz="4" w:space="0"/>
              <w:right w:val="single" w:color="auto" w:sz="4" w:space="0"/>
            </w:tcBorders>
            <w:vAlign w:val="center"/>
          </w:tcPr>
          <w:p>
            <w:pPr>
              <w:spacing w:line="240" w:lineRule="auto"/>
              <w:jc w:val="center"/>
              <w:rPr>
                <w:szCs w:val="21"/>
              </w:rPr>
            </w:pPr>
            <w:r>
              <w:rPr>
                <w:rFonts w:hint="eastAsia"/>
                <w:szCs w:val="21"/>
              </w:rPr>
              <w:t>01</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2</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采购5台荧光PCR仪，保障深圳海关动植物检验检疫技术中心进出口动植物检验检疫技术能力和检测效率，提升深圳海关口岸动植检疫情防控、外来有害生物防范及濒危物种的鉴定识别能力，详见招标文件项目需求书。</w:t>
            </w:r>
          </w:p>
        </w:tc>
        <w:tc>
          <w:tcPr>
            <w:tcW w:w="772"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90.000000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continue"/>
            <w:tcBorders>
              <w:left w:val="single" w:color="auto" w:sz="4" w:space="0"/>
              <w:right w:val="single" w:color="auto" w:sz="4" w:space="0"/>
            </w:tcBorders>
            <w:vAlign w:val="center"/>
          </w:tcPr>
          <w:p>
            <w:pPr>
              <w:spacing w:line="240" w:lineRule="auto"/>
              <w:jc w:val="center"/>
              <w:rPr>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2</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荧光定量PCR仪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72"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60.000000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continue"/>
            <w:tcBorders>
              <w:left w:val="single" w:color="auto" w:sz="4" w:space="0"/>
              <w:bottom w:val="single" w:color="auto" w:sz="4" w:space="0"/>
              <w:right w:val="single" w:color="auto" w:sz="4" w:space="0"/>
            </w:tcBorders>
            <w:vAlign w:val="center"/>
          </w:tcPr>
          <w:p>
            <w:pPr>
              <w:spacing w:line="240" w:lineRule="auto"/>
              <w:jc w:val="center"/>
              <w:rPr>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3</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72"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130.000000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02</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4</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荧光定量PCR仪（数字PCR仪）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72"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245.000000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525.000000</w:t>
            </w:r>
          </w:p>
        </w:tc>
      </w:tr>
    </w:tbl>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合同履行期限：</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86"/>
        <w:gridCol w:w="3192"/>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包号</w:t>
            </w:r>
          </w:p>
        </w:tc>
        <w:tc>
          <w:tcPr>
            <w:tcW w:w="118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标的序号</w:t>
            </w:r>
          </w:p>
        </w:tc>
        <w:tc>
          <w:tcPr>
            <w:tcW w:w="3192"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szCs w:val="21"/>
              </w:rPr>
              <w:t>标的名称</w:t>
            </w:r>
          </w:p>
        </w:tc>
        <w:tc>
          <w:tcPr>
            <w:tcW w:w="406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76" w:type="dxa"/>
            <w:vMerge w:val="restart"/>
            <w:vAlign w:val="center"/>
          </w:tcPr>
          <w:p>
            <w:pPr>
              <w:widowControl w:val="0"/>
              <w:spacing w:line="240" w:lineRule="auto"/>
              <w:jc w:val="center"/>
              <w:rPr>
                <w:szCs w:val="21"/>
              </w:rPr>
            </w:pPr>
            <w:r>
              <w:rPr>
                <w:rFonts w:hint="eastAsia"/>
                <w:szCs w:val="21"/>
              </w:rPr>
              <w:t>01</w:t>
            </w:r>
          </w:p>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1</w:t>
            </w:r>
          </w:p>
        </w:tc>
        <w:tc>
          <w:tcPr>
            <w:tcW w:w="3192" w:type="dxa"/>
            <w:vAlign w:val="center"/>
          </w:tcPr>
          <w:p>
            <w:pPr>
              <w:widowControl w:val="0"/>
              <w:spacing w:line="240" w:lineRule="auto"/>
              <w:jc w:val="center"/>
              <w:rPr>
                <w:szCs w:val="21"/>
              </w:rPr>
            </w:pPr>
            <w:r>
              <w:rPr>
                <w:rFonts w:hint="eastAsia"/>
                <w:szCs w:val="21"/>
              </w:rPr>
              <w:t>荧光PCR仪</w:t>
            </w:r>
          </w:p>
        </w:tc>
        <w:tc>
          <w:tcPr>
            <w:tcW w:w="4066" w:type="dxa"/>
            <w:vAlign w:val="center"/>
          </w:tcPr>
          <w:p>
            <w:pPr>
              <w:widowControl w:val="0"/>
              <w:spacing w:line="240" w:lineRule="auto"/>
              <w:jc w:val="left"/>
              <w:rPr>
                <w:szCs w:val="21"/>
              </w:rPr>
            </w:pPr>
            <w:r>
              <w:rPr>
                <w:rFonts w:hint="eastAsia"/>
                <w:szCs w:val="21"/>
                <w:lang w:eastAsia="zh-TW"/>
              </w:rPr>
              <w:t>中标</w:t>
            </w:r>
            <w:r>
              <w:rPr>
                <w:rFonts w:hint="eastAsia"/>
                <w:szCs w:val="21"/>
              </w:rPr>
              <w:t>人</w:t>
            </w:r>
            <w:r>
              <w:rPr>
                <w:rFonts w:hint="eastAsia"/>
                <w:szCs w:val="21"/>
                <w:lang w:eastAsia="zh-TW"/>
              </w:rPr>
              <w:t>应在合同签订之日起</w:t>
            </w:r>
            <w:r>
              <w:rPr>
                <w:rFonts w:hint="eastAsia"/>
                <w:szCs w:val="21"/>
              </w:rPr>
              <w:t>45</w:t>
            </w:r>
            <w:r>
              <w:rPr>
                <w:rFonts w:hint="eastAsia"/>
                <w:szCs w:val="21"/>
                <w:lang w:eastAsia="zh-TW"/>
              </w:rPr>
              <w:t>个日历日内交付货物并完成安装调试。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2</w:t>
            </w:r>
          </w:p>
        </w:tc>
        <w:tc>
          <w:tcPr>
            <w:tcW w:w="3192" w:type="dxa"/>
            <w:vAlign w:val="center"/>
          </w:tcPr>
          <w:p>
            <w:pPr>
              <w:widowControl w:val="0"/>
              <w:spacing w:line="240" w:lineRule="auto"/>
              <w:jc w:val="center"/>
              <w:rPr>
                <w:szCs w:val="21"/>
              </w:rPr>
            </w:pPr>
            <w:r>
              <w:rPr>
                <w:rFonts w:hint="eastAsia"/>
                <w:szCs w:val="21"/>
              </w:rPr>
              <w:t>荧光定量PCR仪</w:t>
            </w:r>
          </w:p>
        </w:tc>
        <w:tc>
          <w:tcPr>
            <w:tcW w:w="4066" w:type="dxa"/>
            <w:vAlign w:val="center"/>
          </w:tcPr>
          <w:p>
            <w:pPr>
              <w:widowControl w:val="0"/>
              <w:spacing w:line="240" w:lineRule="auto"/>
              <w:jc w:val="left"/>
              <w:rPr>
                <w:szCs w:val="21"/>
              </w:rPr>
            </w:pPr>
            <w:r>
              <w:rPr>
                <w:rFonts w:hint="eastAsia"/>
                <w:szCs w:val="21"/>
                <w:lang w:eastAsia="zh-TW"/>
              </w:rPr>
              <w:t>中标</w:t>
            </w:r>
            <w:r>
              <w:rPr>
                <w:rFonts w:hint="eastAsia"/>
                <w:szCs w:val="21"/>
              </w:rPr>
              <w:t>人</w:t>
            </w:r>
            <w:r>
              <w:rPr>
                <w:rFonts w:hint="eastAsia"/>
                <w:szCs w:val="21"/>
                <w:lang w:eastAsia="zh-TW"/>
              </w:rPr>
              <w:t>应在合同签订之日起</w:t>
            </w:r>
            <w:r>
              <w:rPr>
                <w:rFonts w:hint="eastAsia"/>
                <w:szCs w:val="21"/>
              </w:rPr>
              <w:t>45</w:t>
            </w:r>
            <w:r>
              <w:rPr>
                <w:rFonts w:hint="eastAsia"/>
                <w:szCs w:val="21"/>
                <w:lang w:eastAsia="zh-TW"/>
              </w:rPr>
              <w:t>个日历日内交付货物并完成安装调试。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3</w:t>
            </w:r>
          </w:p>
        </w:tc>
        <w:tc>
          <w:tcPr>
            <w:tcW w:w="3192" w:type="dxa"/>
            <w:vAlign w:val="center"/>
          </w:tcPr>
          <w:p>
            <w:pPr>
              <w:widowControl w:val="0"/>
              <w:spacing w:line="240" w:lineRule="auto"/>
              <w:jc w:val="center"/>
              <w:rPr>
                <w:szCs w:val="21"/>
              </w:rPr>
            </w:pPr>
            <w:r>
              <w:rPr>
                <w:rFonts w:hint="eastAsia"/>
                <w:szCs w:val="21"/>
              </w:rPr>
              <w:t>荧光PCR仪</w:t>
            </w:r>
          </w:p>
        </w:tc>
        <w:tc>
          <w:tcPr>
            <w:tcW w:w="4066" w:type="dxa"/>
            <w:vAlign w:val="center"/>
          </w:tcPr>
          <w:p>
            <w:pPr>
              <w:widowControl w:val="0"/>
              <w:spacing w:line="240" w:lineRule="auto"/>
              <w:jc w:val="left"/>
              <w:rPr>
                <w:szCs w:val="21"/>
              </w:rPr>
            </w:pPr>
            <w:r>
              <w:rPr>
                <w:rFonts w:hint="eastAsia"/>
                <w:szCs w:val="21"/>
              </w:rPr>
              <w:t>中标人应在合同签订之日起45个日历日内交付货物并完成安装调试</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widowControl w:val="0"/>
              <w:spacing w:line="240" w:lineRule="auto"/>
              <w:jc w:val="center"/>
              <w:rPr>
                <w:szCs w:val="21"/>
              </w:rPr>
            </w:pPr>
            <w:r>
              <w:rPr>
                <w:rFonts w:hint="eastAsia"/>
                <w:szCs w:val="21"/>
              </w:rPr>
              <w:t>02</w:t>
            </w:r>
          </w:p>
        </w:tc>
        <w:tc>
          <w:tcPr>
            <w:tcW w:w="1186" w:type="dxa"/>
            <w:vAlign w:val="center"/>
          </w:tcPr>
          <w:p>
            <w:pPr>
              <w:widowControl w:val="0"/>
              <w:spacing w:line="240" w:lineRule="auto"/>
              <w:jc w:val="center"/>
              <w:rPr>
                <w:szCs w:val="21"/>
              </w:rPr>
            </w:pPr>
            <w:r>
              <w:rPr>
                <w:rFonts w:hint="eastAsia"/>
                <w:szCs w:val="21"/>
              </w:rPr>
              <w:t>4</w:t>
            </w:r>
          </w:p>
        </w:tc>
        <w:tc>
          <w:tcPr>
            <w:tcW w:w="3192" w:type="dxa"/>
            <w:vAlign w:val="center"/>
          </w:tcPr>
          <w:p>
            <w:pPr>
              <w:widowControl w:val="0"/>
              <w:spacing w:line="240" w:lineRule="auto"/>
              <w:jc w:val="center"/>
              <w:rPr>
                <w:szCs w:val="21"/>
              </w:rPr>
            </w:pPr>
            <w:r>
              <w:rPr>
                <w:rFonts w:hint="eastAsia"/>
                <w:szCs w:val="21"/>
              </w:rPr>
              <w:t>荧光定量PCR仪（数字PCR仪）</w:t>
            </w:r>
          </w:p>
        </w:tc>
        <w:tc>
          <w:tcPr>
            <w:tcW w:w="4066" w:type="dxa"/>
            <w:vAlign w:val="center"/>
          </w:tcPr>
          <w:p>
            <w:pPr>
              <w:widowControl w:val="0"/>
              <w:spacing w:line="240" w:lineRule="auto"/>
              <w:jc w:val="left"/>
              <w:rPr>
                <w:szCs w:val="21"/>
              </w:rPr>
            </w:pPr>
            <w:r>
              <w:rPr>
                <w:rFonts w:hint="eastAsia"/>
                <w:szCs w:val="21"/>
              </w:rPr>
              <w:t>中标人应在合同签订之日起45个日历日内交付货物并完成安装调试。</w:t>
            </w:r>
          </w:p>
        </w:tc>
      </w:tr>
    </w:tbl>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35393791"/>
      <w:bookmarkStart w:id="14" w:name="_Toc28359080"/>
      <w:bookmarkStart w:id="15" w:name="_Toc35393622"/>
      <w:bookmarkStart w:id="16" w:name="_Toc28359003"/>
    </w:p>
    <w:p>
      <w:pPr>
        <w:spacing w:line="240" w:lineRule="auto"/>
        <w:rPr>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35393792"/>
      <w:bookmarkStart w:id="18" w:name="_Toc28359081"/>
      <w:bookmarkStart w:id="19" w:name="_Toc28359004"/>
      <w:bookmarkStart w:id="20" w:name="_Toc35393623"/>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时间：2024年10月31日至2024年11月13日，每天上午9:00至12:00，下午14:00至18:00（北京时间，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b/>
          <w:kern w:val="2"/>
          <w:szCs w:val="21"/>
        </w:rPr>
      </w:pPr>
      <w:bookmarkStart w:id="21" w:name="_Toc28359005"/>
      <w:bookmarkStart w:id="22" w:name="_Toc28359082"/>
      <w:bookmarkStart w:id="23" w:name="_Toc35393793"/>
      <w:bookmarkStart w:id="24" w:name="_Toc35393624"/>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提交投标文件截止时间：</w:t>
      </w:r>
      <w:r>
        <w:rPr>
          <w:rFonts w:hint="eastAsia" w:ascii="宋体" w:hAnsi="宋体" w:eastAsia="宋体" w:cs="宋体"/>
          <w:b w:val="0"/>
          <w:bCs w:val="0"/>
          <w:sz w:val="21"/>
          <w:szCs w:val="21"/>
          <w:vertAlign w:val="baseline"/>
          <w:lang w:val="en-US" w:eastAsia="zh-CN"/>
        </w:rPr>
        <w:t>2024年11月2</w:t>
      </w:r>
      <w:r>
        <w:rPr>
          <w:rFonts w:hint="eastAsia" w:cs="宋体"/>
          <w:b w:val="0"/>
          <w:bCs w:val="0"/>
          <w:sz w:val="21"/>
          <w:szCs w:val="21"/>
          <w:vertAlign w:val="baseline"/>
          <w:lang w:val="en-US" w:eastAsia="zh-CN"/>
        </w:rPr>
        <w:t>9</w:t>
      </w:r>
      <w:r>
        <w:rPr>
          <w:rFonts w:hint="eastAsia" w:ascii="宋体" w:hAnsi="宋体" w:eastAsia="宋体" w:cs="宋体"/>
          <w:b w:val="0"/>
          <w:bCs w:val="0"/>
          <w:sz w:val="21"/>
          <w:szCs w:val="21"/>
          <w:vertAlign w:val="baseline"/>
          <w:lang w:val="en-US" w:eastAsia="zh-CN"/>
        </w:rPr>
        <w:t>日</w:t>
      </w:r>
      <w:r>
        <w:rPr>
          <w:rFonts w:hint="eastAsia" w:cs="宋体"/>
          <w:b w:val="0"/>
          <w:bCs w:val="0"/>
          <w:sz w:val="21"/>
          <w:szCs w:val="21"/>
          <w:vertAlign w:val="baseline"/>
          <w:lang w:val="en-US" w:eastAsia="zh-CN"/>
        </w:rPr>
        <w:t>09</w:t>
      </w:r>
      <w:r>
        <w:rPr>
          <w:rFonts w:hint="eastAsia" w:ascii="宋体" w:hAnsi="宋体" w:eastAsia="宋体" w:cs="宋体"/>
          <w:b w:val="0"/>
          <w:bCs w:val="0"/>
          <w:sz w:val="21"/>
          <w:szCs w:val="21"/>
          <w:vertAlign w:val="baseline"/>
          <w:lang w:val="en-US" w:eastAsia="zh-CN"/>
        </w:rPr>
        <w:t>点30分</w:t>
      </w:r>
      <w:r>
        <w:rPr>
          <w:rFonts w:hint="eastAsia" w:cs="Times New Roman"/>
          <w:bCs/>
          <w:kern w:val="2"/>
          <w:szCs w:val="21"/>
        </w:rPr>
        <w:t>（北京时间）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w:t>
      </w:r>
      <w:r>
        <w:rPr>
          <w:rFonts w:hint="eastAsia" w:ascii="宋体" w:hAnsi="宋体" w:eastAsia="宋体" w:cs="宋体"/>
          <w:b w:val="0"/>
          <w:bCs w:val="0"/>
          <w:sz w:val="21"/>
          <w:szCs w:val="21"/>
          <w:vertAlign w:val="baseline"/>
          <w:lang w:val="en-US" w:eastAsia="zh-CN"/>
        </w:rPr>
        <w:t>2024年11月2</w:t>
      </w:r>
      <w:r>
        <w:rPr>
          <w:rFonts w:hint="eastAsia" w:cs="宋体"/>
          <w:b w:val="0"/>
          <w:bCs w:val="0"/>
          <w:sz w:val="21"/>
          <w:szCs w:val="21"/>
          <w:vertAlign w:val="baseline"/>
          <w:lang w:val="en-US" w:eastAsia="zh-CN"/>
        </w:rPr>
        <w:t>9</w:t>
      </w:r>
      <w:r>
        <w:rPr>
          <w:rFonts w:hint="eastAsia" w:ascii="宋体" w:hAnsi="宋体" w:eastAsia="宋体" w:cs="宋体"/>
          <w:b w:val="0"/>
          <w:bCs w:val="0"/>
          <w:sz w:val="21"/>
          <w:szCs w:val="21"/>
          <w:vertAlign w:val="baseline"/>
          <w:lang w:val="en-US" w:eastAsia="zh-CN"/>
        </w:rPr>
        <w:t>日</w:t>
      </w:r>
      <w:r>
        <w:rPr>
          <w:rFonts w:hint="eastAsia" w:cs="宋体"/>
          <w:b w:val="0"/>
          <w:bCs w:val="0"/>
          <w:sz w:val="21"/>
          <w:szCs w:val="21"/>
          <w:vertAlign w:val="baseline"/>
          <w:lang w:val="en-US" w:eastAsia="zh-CN"/>
        </w:rPr>
        <w:t>09</w:t>
      </w:r>
      <w:r>
        <w:rPr>
          <w:rFonts w:hint="eastAsia" w:ascii="宋体" w:hAnsi="宋体" w:eastAsia="宋体" w:cs="宋体"/>
          <w:b w:val="0"/>
          <w:bCs w:val="0"/>
          <w:sz w:val="21"/>
          <w:szCs w:val="21"/>
          <w:vertAlign w:val="baseline"/>
          <w:lang w:val="en-US" w:eastAsia="zh-CN"/>
        </w:rPr>
        <w:t>点30分</w:t>
      </w:r>
      <w:r>
        <w:rPr>
          <w:rFonts w:hint="eastAsia" w:hAnsi="Times New Roman" w:cs="Times New Roman"/>
          <w:kern w:val="2"/>
          <w:szCs w:val="21"/>
        </w:rPr>
        <w:t>（北京时间）</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b/>
          <w:kern w:val="2"/>
          <w:szCs w:val="21"/>
        </w:rPr>
      </w:pPr>
      <w:bookmarkStart w:id="25" w:name="_Toc35393794"/>
      <w:bookmarkStart w:id="26" w:name="_Toc35393625"/>
      <w:bookmarkStart w:id="27" w:name="_Toc28359007"/>
      <w:bookmarkStart w:id="28" w:name="_Toc28359084"/>
      <w:r>
        <w:rPr>
          <w:rFonts w:hint="eastAsia"/>
          <w:b/>
          <w:kern w:val="2"/>
          <w:szCs w:val="21"/>
        </w:rPr>
        <w:t>五、公告期限</w:t>
      </w:r>
      <w:bookmarkEnd w:id="25"/>
      <w:bookmarkEnd w:id="26"/>
      <w:bookmarkEnd w:id="27"/>
      <w:bookmarkEnd w:id="28"/>
    </w:p>
    <w:p>
      <w:pPr>
        <w:widowControl w:val="0"/>
        <w:shd w:val="clear" w:color="auto" w:fill="auto"/>
        <w:tabs>
          <w:tab w:val="clear" w:pos="426"/>
        </w:tabs>
        <w:adjustRightInd/>
        <w:snapToGrid/>
        <w:spacing w:line="240" w:lineRule="auto"/>
        <w:ind w:firstLine="420" w:firstLineChars="200"/>
        <w:rPr>
          <w:szCs w:val="21"/>
        </w:rPr>
      </w:pPr>
      <w:r>
        <w:rPr>
          <w:rFonts w:hint="eastAsia"/>
          <w:szCs w:val="21"/>
        </w:rPr>
        <w:t>自本公告发布之日起5个工作日。</w:t>
      </w:r>
      <w:bookmarkStart w:id="29" w:name="_Toc35393795"/>
      <w:bookmarkStart w:id="30" w:name="_Toc35393626"/>
    </w:p>
    <w:p>
      <w:pPr>
        <w:spacing w:line="240" w:lineRule="auto"/>
        <w:rPr>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2.特别说明：</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（1）本项目共2个包，包划分详见招标文件第二章项目需求-一、货物清单一览表。</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（2）本项目通过公开招标各包确定1家中标供应商，投标供应商可选择1个包或2个包进行投标响应。</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（3）评标委员会依次评审01包、02包。</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3.投标文件提交方式补充说明：</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b/>
          <w:kern w:val="2"/>
          <w:szCs w:val="21"/>
        </w:rPr>
      </w:pPr>
      <w:bookmarkStart w:id="32" w:name="_Toc35393796"/>
      <w:bookmarkStart w:id="33" w:name="_Toc28359085"/>
      <w:bookmarkStart w:id="34" w:name="_Toc35393627"/>
      <w:bookmarkStart w:id="35" w:name="_Toc28359008"/>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名称：深圳海关动植物检验检疫技术中心</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2.采购代理机构信息</w:t>
      </w:r>
      <w:bookmarkEnd w:id="36"/>
      <w:bookmarkEnd w:id="37"/>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szCs w:val="21"/>
        </w:rPr>
      </w:pPr>
      <w:r>
        <w:rPr>
          <w:rFonts w:hint="eastAsia"/>
          <w:szCs w:val="21"/>
        </w:rPr>
        <w:t>深圳市深水水务咨询有限公司</w:t>
      </w:r>
    </w:p>
    <w:p>
      <w:pPr>
        <w:spacing w:line="240" w:lineRule="auto"/>
        <w:ind w:firstLine="424" w:firstLineChars="202"/>
        <w:jc w:val="right"/>
        <w:rPr>
          <w:szCs w:val="21"/>
        </w:rPr>
      </w:pPr>
      <w:r>
        <w:rPr>
          <w:rFonts w:hint="eastAsia"/>
          <w:szCs w:val="21"/>
        </w:rPr>
        <w:t>2024年10月30日</w:t>
      </w:r>
    </w:p>
    <w:bookmarkEnd w:id="6"/>
    <w:p>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b/>
          <w:sz w:val="24"/>
        </w:rPr>
      </w:pPr>
      <w:bookmarkStart w:id="39" w:name="_Toc15786"/>
      <w:bookmarkStart w:id="40" w:name="_Toc151386154"/>
      <w:bookmarkStart w:id="41" w:name="_Toc15096024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b/>
                <w:bCs/>
                <w:szCs w:val="21"/>
              </w:rPr>
            </w:pPr>
            <w:r>
              <w:rPr>
                <w:rFonts w:hint="eastAsia"/>
                <w:b/>
                <w:bCs/>
                <w:szCs w:val="21"/>
              </w:rPr>
              <w:t>包号</w:t>
            </w:r>
          </w:p>
        </w:tc>
        <w:tc>
          <w:tcPr>
            <w:tcW w:w="1250" w:type="dxa"/>
            <w:vAlign w:val="center"/>
          </w:tcPr>
          <w:p>
            <w:pPr>
              <w:spacing w:line="240" w:lineRule="auto"/>
              <w:jc w:val="center"/>
              <w:rPr>
                <w:b/>
                <w:bCs/>
                <w:szCs w:val="21"/>
              </w:rPr>
            </w:pPr>
            <w:r>
              <w:rPr>
                <w:rFonts w:hint="eastAsia"/>
                <w:b/>
                <w:bCs/>
                <w:szCs w:val="21"/>
              </w:rPr>
              <w:t>标的序号</w:t>
            </w:r>
          </w:p>
        </w:tc>
        <w:tc>
          <w:tcPr>
            <w:tcW w:w="1650" w:type="dxa"/>
            <w:vAlign w:val="center"/>
          </w:tcPr>
          <w:p>
            <w:pPr>
              <w:spacing w:line="240" w:lineRule="auto"/>
              <w:jc w:val="center"/>
              <w:rPr>
                <w:b/>
                <w:bCs/>
                <w:szCs w:val="21"/>
              </w:rPr>
            </w:pPr>
            <w:r>
              <w:rPr>
                <w:rFonts w:hint="eastAsia"/>
                <w:b/>
                <w:bCs/>
                <w:szCs w:val="21"/>
              </w:rPr>
              <w:t>货物（标的）名称</w:t>
            </w:r>
          </w:p>
        </w:tc>
        <w:tc>
          <w:tcPr>
            <w:tcW w:w="1140" w:type="dxa"/>
            <w:vAlign w:val="center"/>
          </w:tcPr>
          <w:p>
            <w:pPr>
              <w:spacing w:line="240" w:lineRule="auto"/>
              <w:jc w:val="center"/>
              <w:rPr>
                <w:b/>
                <w:bCs/>
                <w:szCs w:val="21"/>
              </w:rPr>
            </w:pPr>
            <w:r>
              <w:rPr>
                <w:rFonts w:hint="eastAsia"/>
                <w:b/>
                <w:bCs/>
                <w:szCs w:val="21"/>
              </w:rPr>
              <w:t>计量单位</w:t>
            </w:r>
          </w:p>
        </w:tc>
        <w:tc>
          <w:tcPr>
            <w:tcW w:w="525" w:type="dxa"/>
            <w:vAlign w:val="center"/>
          </w:tcPr>
          <w:p>
            <w:pPr>
              <w:spacing w:line="240" w:lineRule="auto"/>
              <w:jc w:val="center"/>
              <w:rPr>
                <w:b/>
                <w:bCs/>
                <w:szCs w:val="21"/>
              </w:rPr>
            </w:pPr>
            <w:r>
              <w:rPr>
                <w:rFonts w:hint="eastAsia"/>
                <w:b/>
                <w:bCs/>
                <w:szCs w:val="21"/>
              </w:rPr>
              <w:t>数量</w:t>
            </w:r>
          </w:p>
        </w:tc>
        <w:tc>
          <w:tcPr>
            <w:tcW w:w="1095" w:type="dxa"/>
            <w:vAlign w:val="center"/>
          </w:tcPr>
          <w:p>
            <w:pPr>
              <w:spacing w:line="240" w:lineRule="auto"/>
              <w:jc w:val="center"/>
              <w:rPr>
                <w:b/>
                <w:bCs/>
                <w:szCs w:val="21"/>
              </w:rPr>
            </w:pPr>
            <w:r>
              <w:rPr>
                <w:rFonts w:hint="eastAsia"/>
                <w:b/>
                <w:bCs/>
                <w:szCs w:val="21"/>
              </w:rPr>
              <w:t>是否进口</w:t>
            </w:r>
          </w:p>
        </w:tc>
        <w:tc>
          <w:tcPr>
            <w:tcW w:w="1551" w:type="dxa"/>
            <w:vAlign w:val="center"/>
          </w:tcPr>
          <w:p>
            <w:pPr>
              <w:spacing w:line="240" w:lineRule="auto"/>
              <w:jc w:val="center"/>
              <w:rPr>
                <w:b/>
                <w:bCs/>
                <w:szCs w:val="21"/>
              </w:rPr>
            </w:pPr>
            <w:r>
              <w:rPr>
                <w:rFonts w:hint="eastAsia"/>
                <w:b/>
                <w:bCs/>
                <w:szCs w:val="21"/>
              </w:rPr>
              <w:t>是否创新产品</w:t>
            </w:r>
          </w:p>
        </w:tc>
        <w:tc>
          <w:tcPr>
            <w:tcW w:w="1305" w:type="dxa"/>
            <w:vAlign w:val="center"/>
          </w:tcPr>
          <w:p>
            <w:pPr>
              <w:spacing w:line="240" w:lineRule="auto"/>
              <w:jc w:val="center"/>
              <w:rPr>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restart"/>
            <w:vAlign w:val="center"/>
          </w:tcPr>
          <w:p>
            <w:pPr>
              <w:spacing w:line="240" w:lineRule="auto"/>
              <w:jc w:val="center"/>
              <w:rPr>
                <w:szCs w:val="21"/>
              </w:rPr>
            </w:pPr>
            <w:r>
              <w:rPr>
                <w:rFonts w:hint="eastAsia"/>
                <w:szCs w:val="21"/>
              </w:rPr>
              <w:t>01</w:t>
            </w:r>
          </w:p>
        </w:tc>
        <w:tc>
          <w:tcPr>
            <w:tcW w:w="1250" w:type="dxa"/>
            <w:vAlign w:val="center"/>
          </w:tcPr>
          <w:p>
            <w:pPr>
              <w:spacing w:line="240" w:lineRule="auto"/>
              <w:jc w:val="center"/>
              <w:rPr>
                <w:szCs w:val="21"/>
              </w:rPr>
            </w:pPr>
            <w:r>
              <w:rPr>
                <w:rFonts w:hint="eastAsia"/>
                <w:szCs w:val="21"/>
              </w:rPr>
              <w:t>1</w:t>
            </w:r>
          </w:p>
        </w:tc>
        <w:tc>
          <w:tcPr>
            <w:tcW w:w="1650" w:type="dxa"/>
            <w:vAlign w:val="center"/>
          </w:tcPr>
          <w:p>
            <w:pPr>
              <w:spacing w:line="240" w:lineRule="auto"/>
              <w:jc w:val="center"/>
              <w:rPr>
                <w:szCs w:val="21"/>
              </w:rPr>
            </w:pPr>
            <w:r>
              <w:rPr>
                <w:rFonts w:hint="eastAsia"/>
                <w:szCs w:val="21"/>
              </w:rPr>
              <w:t>荧光PCR仪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2</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rPr>
                <w:rFonts w:hAnsi="宋体"/>
                <w:szCs w:val="21"/>
              </w:rPr>
            </w:pPr>
            <w:r>
              <w:rPr>
                <w:rFonts w:hint="eastAsia"/>
              </w:rPr>
              <w:t>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continue"/>
            <w:vAlign w:val="center"/>
          </w:tcPr>
          <w:p>
            <w:pPr>
              <w:spacing w:line="240" w:lineRule="auto"/>
              <w:jc w:val="center"/>
              <w:rPr>
                <w:szCs w:val="21"/>
              </w:rPr>
            </w:pPr>
          </w:p>
        </w:tc>
        <w:tc>
          <w:tcPr>
            <w:tcW w:w="1250" w:type="dxa"/>
            <w:vAlign w:val="center"/>
          </w:tcPr>
          <w:p>
            <w:pPr>
              <w:spacing w:line="240" w:lineRule="auto"/>
              <w:jc w:val="center"/>
              <w:rPr>
                <w:szCs w:val="21"/>
              </w:rPr>
            </w:pPr>
            <w:r>
              <w:rPr>
                <w:rFonts w:hint="eastAsia"/>
                <w:szCs w:val="21"/>
              </w:rPr>
              <w:t>2</w:t>
            </w:r>
          </w:p>
        </w:tc>
        <w:tc>
          <w:tcPr>
            <w:tcW w:w="1650" w:type="dxa"/>
            <w:vAlign w:val="center"/>
          </w:tcPr>
          <w:p>
            <w:pPr>
              <w:spacing w:line="240" w:lineRule="auto"/>
              <w:jc w:val="center"/>
              <w:rPr>
                <w:szCs w:val="21"/>
              </w:rPr>
            </w:pPr>
            <w:r>
              <w:rPr>
                <w:rFonts w:hint="eastAsia"/>
                <w:szCs w:val="21"/>
              </w:rPr>
              <w:t>荧光定量PCR仪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rPr>
                <w:rFonts w:hAnsi="宋体"/>
                <w:szCs w:val="21"/>
              </w:rPr>
            </w:pPr>
            <w:r>
              <w:rPr>
                <w:rFonts w:hint="eastAsia"/>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continue"/>
            <w:vAlign w:val="center"/>
          </w:tcPr>
          <w:p>
            <w:pPr>
              <w:spacing w:line="240" w:lineRule="auto"/>
              <w:jc w:val="center"/>
              <w:rPr>
                <w:szCs w:val="21"/>
              </w:rPr>
            </w:pPr>
          </w:p>
        </w:tc>
        <w:tc>
          <w:tcPr>
            <w:tcW w:w="1250" w:type="dxa"/>
            <w:vAlign w:val="center"/>
          </w:tcPr>
          <w:p>
            <w:pPr>
              <w:spacing w:line="240" w:lineRule="auto"/>
              <w:jc w:val="center"/>
              <w:rPr>
                <w:szCs w:val="21"/>
              </w:rPr>
            </w:pPr>
            <w:r>
              <w:rPr>
                <w:rFonts w:hint="eastAsia"/>
                <w:szCs w:val="21"/>
              </w:rPr>
              <w:t>3</w:t>
            </w:r>
          </w:p>
        </w:tc>
        <w:tc>
          <w:tcPr>
            <w:tcW w:w="1650" w:type="dxa"/>
            <w:vAlign w:val="center"/>
          </w:tcPr>
          <w:p>
            <w:pPr>
              <w:spacing w:line="240" w:lineRule="auto"/>
              <w:jc w:val="center"/>
              <w:rPr>
                <w:szCs w:val="21"/>
              </w:rPr>
            </w:pPr>
            <w:r>
              <w:rPr>
                <w:rFonts w:hint="eastAsia"/>
                <w:szCs w:val="21"/>
              </w:rPr>
              <w:t>荧光PCR仪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pPr>
            <w:r>
              <w:rPr>
                <w:rFonts w:hint="eastAsia"/>
              </w:rPr>
              <w:t>130.000000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szCs w:val="21"/>
              </w:rPr>
            </w:pPr>
            <w:r>
              <w:rPr>
                <w:rFonts w:hint="eastAsia"/>
                <w:szCs w:val="21"/>
              </w:rPr>
              <w:t>02</w:t>
            </w:r>
          </w:p>
        </w:tc>
        <w:tc>
          <w:tcPr>
            <w:tcW w:w="1250" w:type="dxa"/>
            <w:vAlign w:val="center"/>
          </w:tcPr>
          <w:p>
            <w:pPr>
              <w:spacing w:line="240" w:lineRule="auto"/>
              <w:jc w:val="center"/>
              <w:rPr>
                <w:szCs w:val="21"/>
              </w:rPr>
            </w:pPr>
            <w:r>
              <w:rPr>
                <w:rFonts w:hint="eastAsia"/>
                <w:szCs w:val="21"/>
              </w:rPr>
              <w:t>4</w:t>
            </w:r>
          </w:p>
        </w:tc>
        <w:tc>
          <w:tcPr>
            <w:tcW w:w="1650" w:type="dxa"/>
            <w:vAlign w:val="center"/>
          </w:tcPr>
          <w:p>
            <w:pPr>
              <w:spacing w:line="240" w:lineRule="auto"/>
              <w:jc w:val="center"/>
              <w:rPr>
                <w:szCs w:val="21"/>
              </w:rPr>
            </w:pPr>
            <w:r>
              <w:rPr>
                <w:rFonts w:hint="eastAsia"/>
                <w:szCs w:val="21"/>
              </w:rPr>
              <w:t>荧光定量PCR仪（数字PCR仪）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pPr>
            <w:r>
              <w:rPr>
                <w:rFonts w:hint="eastAsia"/>
              </w:rPr>
              <w:t>245.000000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szCs w:val="21"/>
              </w:rPr>
            </w:pPr>
            <w:r>
              <w:rPr>
                <w:rFonts w:hint="eastAsia"/>
                <w:szCs w:val="21"/>
              </w:rPr>
              <w:t>合计</w:t>
            </w:r>
          </w:p>
        </w:tc>
        <w:tc>
          <w:tcPr>
            <w:tcW w:w="1305" w:type="dxa"/>
            <w:vAlign w:val="center"/>
          </w:tcPr>
          <w:p>
            <w:pPr>
              <w:pStyle w:val="425"/>
              <w:rPr>
                <w:szCs w:val="21"/>
              </w:rPr>
            </w:pPr>
            <w:r>
              <w:rPr>
                <w:rFonts w:hint="eastAsia"/>
              </w:rPr>
              <w:t>525.000000</w:t>
            </w:r>
          </w:p>
        </w:tc>
      </w:tr>
    </w:tbl>
    <w:p>
      <w:pPr>
        <w:spacing w:line="276" w:lineRule="auto"/>
        <w:ind w:firstLine="420" w:firstLineChars="200"/>
        <w:rPr>
          <w:szCs w:val="21"/>
        </w:rPr>
      </w:pPr>
      <w:r>
        <w:rPr>
          <w:rFonts w:hint="eastAsia"/>
          <w:szCs w:val="21"/>
        </w:rPr>
        <w:t>备注：</w:t>
      </w:r>
    </w:p>
    <w:p>
      <w:pPr>
        <w:spacing w:line="276" w:lineRule="auto"/>
        <w:ind w:firstLine="420" w:firstLineChars="200"/>
        <w:rPr>
          <w:szCs w:val="21"/>
        </w:rPr>
      </w:pPr>
      <w:r>
        <w:rPr>
          <w:rFonts w:hint="eastAsia"/>
          <w:szCs w:val="21"/>
        </w:rPr>
        <w:t>1.注明“接受进口”的产品（产品名称）允许供应商选用进口产品参与投标，但不排斥国内产品。</w:t>
      </w:r>
    </w:p>
    <w:p>
      <w:pPr>
        <w:spacing w:line="276" w:lineRule="auto"/>
        <w:ind w:firstLine="420" w:firstLineChars="200"/>
        <w:rPr>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2" w:firstLineChars="200"/>
        <w:rPr>
          <w:b/>
          <w:szCs w:val="21"/>
        </w:rPr>
      </w:pPr>
      <w:r>
        <w:rPr>
          <w:b/>
          <w:szCs w:val="21"/>
        </w:rPr>
        <w:t>4.</w:t>
      </w:r>
      <w:r>
        <w:rPr>
          <w:rFonts w:hint="eastAsia"/>
          <w:b/>
          <w:szCs w:val="21"/>
        </w:rPr>
        <w:t>本项目01包的核心产品为：</w:t>
      </w:r>
      <w:r>
        <w:rPr>
          <w:rFonts w:hint="eastAsia"/>
          <w:b/>
          <w:szCs w:val="21"/>
          <w:u w:val="single"/>
        </w:rPr>
        <w:t xml:space="preserve"> </w:t>
      </w:r>
      <w:r>
        <w:rPr>
          <w:rFonts w:hint="eastAsia"/>
          <w:b/>
          <w:szCs w:val="21"/>
          <w:u w:val="single"/>
          <w:lang w:val="en-US" w:eastAsia="zh-CN"/>
        </w:rPr>
        <w:t>标的</w:t>
      </w:r>
      <w:r>
        <w:rPr>
          <w:rFonts w:hint="eastAsia"/>
          <w:b/>
          <w:szCs w:val="21"/>
          <w:u w:val="single"/>
        </w:rPr>
        <w:t xml:space="preserve">序号3  荧光PCR仪 </w:t>
      </w:r>
      <w:r>
        <w:rPr>
          <w:rFonts w:hint="eastAsia"/>
          <w:b/>
          <w:szCs w:val="21"/>
        </w:rPr>
        <w:t>。</w:t>
      </w:r>
    </w:p>
    <w:p>
      <w:pPr>
        <w:spacing w:line="276" w:lineRule="auto"/>
        <w:ind w:firstLine="420" w:firstLineChars="200"/>
        <w:rPr>
          <w:bCs/>
          <w:szCs w:val="21"/>
        </w:rPr>
      </w:pPr>
      <w:r>
        <w:rPr>
          <w:rFonts w:hint="eastAsia"/>
          <w:bCs/>
          <w:szCs w:val="21"/>
        </w:rPr>
        <w:t>当多家投标人提供的核心产品品牌相同的，按一家投标人计算。根据《政府采购货物和服务招标投标管理办法》（中华人民共和国财政部令第</w:t>
      </w:r>
      <w:r>
        <w:rPr>
          <w:bCs/>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bCs/>
          <w:szCs w:val="21"/>
        </w:rPr>
        <w:t>格。</w:t>
      </w:r>
    </w:p>
    <w:p>
      <w:pPr>
        <w:spacing w:line="276" w:lineRule="auto"/>
        <w:ind w:firstLine="420" w:firstLineChars="200"/>
        <w:rPr>
          <w:szCs w:val="21"/>
        </w:rPr>
      </w:pPr>
      <w:r>
        <w:rPr>
          <w:szCs w:val="21"/>
        </w:rPr>
        <w:t>5.</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b/>
          <w:sz w:val="24"/>
        </w:rPr>
      </w:pPr>
      <w:bookmarkStart w:id="42" w:name="_Toc31434"/>
      <w:bookmarkStart w:id="43" w:name="_Toc150960245"/>
      <w:bookmarkStart w:id="44" w:name="_Toc151386155"/>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序号</w:t>
            </w:r>
          </w:p>
        </w:tc>
        <w:tc>
          <w:tcPr>
            <w:tcW w:w="876" w:type="pct"/>
            <w:vAlign w:val="center"/>
          </w:tcPr>
          <w:p>
            <w:pPr>
              <w:spacing w:line="240" w:lineRule="auto"/>
              <w:jc w:val="center"/>
              <w:rPr>
                <w:b/>
                <w:szCs w:val="21"/>
              </w:rPr>
            </w:pPr>
            <w:r>
              <w:rPr>
                <w:rFonts w:hint="eastAsia"/>
                <w:b/>
                <w:szCs w:val="21"/>
              </w:rPr>
              <w:t>目录</w:t>
            </w:r>
          </w:p>
        </w:tc>
        <w:tc>
          <w:tcPr>
            <w:tcW w:w="3704" w:type="pct"/>
            <w:vAlign w:val="center"/>
          </w:tcPr>
          <w:p>
            <w:pPr>
              <w:spacing w:line="240" w:lineRule="auto"/>
              <w:jc w:val="center"/>
              <w:rPr>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1</w:t>
            </w:r>
          </w:p>
        </w:tc>
        <w:tc>
          <w:tcPr>
            <w:tcW w:w="876" w:type="pct"/>
            <w:vAlign w:val="center"/>
          </w:tcPr>
          <w:p>
            <w:pPr>
              <w:tabs>
                <w:tab w:val="clear" w:pos="426"/>
              </w:tabs>
              <w:spacing w:line="240" w:lineRule="auto"/>
              <w:jc w:val="left"/>
              <w:rPr>
                <w:rFonts w:cs="Times New Roman"/>
                <w:kern w:val="2"/>
                <w:szCs w:val="21"/>
              </w:rPr>
            </w:pPr>
            <w:r>
              <w:rPr>
                <w:rFonts w:hint="eastAsia" w:cs="Times New Roman"/>
                <w:kern w:val="2"/>
                <w:szCs w:val="21"/>
              </w:rPr>
              <w:t>技术要求</w:t>
            </w:r>
          </w:p>
        </w:tc>
        <w:tc>
          <w:tcPr>
            <w:tcW w:w="3704" w:type="pct"/>
            <w:vAlign w:val="center"/>
          </w:tcPr>
          <w:p>
            <w:pPr>
              <w:spacing w:line="240" w:lineRule="auto"/>
              <w:rPr>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2</w:t>
            </w:r>
          </w:p>
        </w:tc>
        <w:tc>
          <w:tcPr>
            <w:tcW w:w="876" w:type="pct"/>
            <w:vAlign w:val="center"/>
          </w:tcPr>
          <w:p>
            <w:pPr>
              <w:tabs>
                <w:tab w:val="clear" w:pos="426"/>
              </w:tabs>
              <w:spacing w:line="240" w:lineRule="auto"/>
              <w:jc w:val="left"/>
              <w:rPr>
                <w:rFonts w:cs="Times New Roman"/>
                <w:kern w:val="2"/>
                <w:szCs w:val="21"/>
              </w:rPr>
            </w:pPr>
            <w:r>
              <w:rPr>
                <w:rFonts w:hint="eastAsia" w:cs="Times New Roman"/>
                <w:kern w:val="2"/>
                <w:szCs w:val="21"/>
              </w:rPr>
              <w:t>商务要求</w:t>
            </w:r>
          </w:p>
        </w:tc>
        <w:tc>
          <w:tcPr>
            <w:tcW w:w="3704" w:type="pct"/>
            <w:vAlign w:val="center"/>
          </w:tcPr>
          <w:p>
            <w:pPr>
              <w:spacing w:line="240" w:lineRule="auto"/>
              <w:rPr>
                <w:szCs w:val="21"/>
                <w:lang w:bidi="ar"/>
              </w:rPr>
            </w:pPr>
            <w:r>
              <w:rPr>
                <w:rFonts w:hint="eastAsia" w:cs="Times New Roman"/>
                <w:kern w:val="2"/>
                <w:szCs w:val="21"/>
              </w:rPr>
              <w:t>带★内容。</w:t>
            </w:r>
          </w:p>
        </w:tc>
      </w:tr>
    </w:tbl>
    <w:p>
      <w:pPr>
        <w:spacing w:line="276" w:lineRule="auto"/>
        <w:ind w:firstLine="420" w:firstLineChars="200"/>
        <w:rPr>
          <w:bCs/>
          <w:szCs w:val="21"/>
        </w:rPr>
      </w:pPr>
      <w:r>
        <w:rPr>
          <w:rFonts w:hint="eastAsia"/>
          <w:bCs/>
          <w:szCs w:val="21"/>
        </w:rPr>
        <w:t>备注：</w:t>
      </w:r>
    </w:p>
    <w:p>
      <w:pPr>
        <w:spacing w:line="276" w:lineRule="auto"/>
        <w:ind w:firstLine="420" w:firstLineChars="200"/>
        <w:rPr>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b/>
          <w:sz w:val="24"/>
        </w:rPr>
      </w:pPr>
      <w:bookmarkStart w:id="45" w:name="_Toc150960246"/>
      <w:bookmarkStart w:id="46" w:name="_Toc27732"/>
      <w:bookmarkStart w:id="47" w:name="_Toc151386156"/>
      <w:r>
        <w:rPr>
          <w:rFonts w:hint="eastAsia"/>
          <w:b/>
          <w:sz w:val="24"/>
        </w:rPr>
        <w:t>技术要求</w:t>
      </w:r>
      <w:bookmarkEnd w:id="45"/>
      <w:bookmarkEnd w:id="46"/>
      <w:bookmarkEnd w:id="47"/>
    </w:p>
    <w:p>
      <w:pPr>
        <w:widowControl w:val="0"/>
        <w:shd w:val="clear" w:color="auto" w:fill="auto"/>
        <w:tabs>
          <w:tab w:val="clear" w:pos="426"/>
        </w:tabs>
        <w:adjustRightInd/>
        <w:snapToGrid/>
        <w:spacing w:line="240" w:lineRule="auto"/>
        <w:ind w:firstLine="422" w:firstLineChars="200"/>
        <w:jc w:val="center"/>
        <w:outlineLvl w:val="3"/>
        <w:rPr>
          <w:rFonts w:cs="Times New Roman"/>
          <w:b/>
          <w:bCs/>
          <w:kern w:val="2"/>
          <w:szCs w:val="21"/>
        </w:rPr>
      </w:pPr>
      <w:r>
        <w:rPr>
          <w:rFonts w:hint="eastAsia" w:cs="Times New Roman"/>
          <w:b/>
          <w:bCs/>
          <w:kern w:val="2"/>
          <w:szCs w:val="21"/>
        </w:rPr>
        <w:t>01包 技术要求</w:t>
      </w:r>
    </w:p>
    <w:p>
      <w:pPr>
        <w:widowControl w:val="0"/>
        <w:shd w:val="clear" w:color="auto" w:fill="auto"/>
        <w:adjustRightInd/>
        <w:snapToGrid/>
        <w:spacing w:line="240" w:lineRule="auto"/>
        <w:ind w:firstLine="422" w:firstLineChars="200"/>
        <w:rPr>
          <w:rFonts w:cs="Times New Roman"/>
          <w:b/>
          <w:bCs/>
          <w:kern w:val="2"/>
          <w:szCs w:val="21"/>
        </w:rPr>
      </w:pPr>
      <w:r>
        <w:rPr>
          <w:rFonts w:hint="eastAsia"/>
          <w:b/>
          <w:bCs/>
          <w:kern w:val="2"/>
          <w:szCs w:val="21"/>
        </w:rPr>
        <w:t>（一）采购标的1</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185"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1.主要技术参数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（1）仪器硬件参数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★1）半导体加热方式。</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 激发光源：卤钨灯或</w:t>
            </w:r>
            <w:bookmarkStart w:id="48" w:name="OLE_LINK3"/>
            <w:r>
              <w:rPr>
                <w:rFonts w:hint="eastAsia"/>
                <w:kern w:val="2"/>
                <w:szCs w:val="21"/>
              </w:rPr>
              <w:t>LED</w:t>
            </w:r>
            <w:bookmarkEnd w:id="48"/>
            <w:r>
              <w:rPr>
                <w:rFonts w:hint="eastAsia"/>
                <w:kern w:val="2"/>
                <w:szCs w:val="21"/>
              </w:rPr>
              <w:t>。</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★3）检测通道：≥5。</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4）具有温度梯度功能，相邻温控区温度差异最多可达</w:t>
            </w:r>
            <w:r>
              <w:rPr>
                <w:kern w:val="2"/>
                <w:szCs w:val="21"/>
              </w:rPr>
              <w:t>5℃，最大温度差异≥25℃</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5）检测方式：实时动态检测；扩增和检测同时进行。</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6）检测系统：CCD检测器或PDT检测器或PMT检测器或cmos检测器。</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（2）仪器软件</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定量PCR软件、阴阳性结果自动判定软件、反应板设置软件。</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（3）性能</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★1）升降温速率≥3 ℃/s、控温精度≤±0.25 ℃，控温范围：4 ℃～99 ℃；温度均匀性≤±0.5 ℃；样品通量≥96个、样品体积10 µL-50 µL。</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2）荧光定量方法：Taqman探针，或Taqman MGB探针或FRET探针或SYBR Green I染料等。</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3）检测灵敏度：能检测到一个拷贝数的基因 ;支持快速反应模式:45分钟内可完成40个标准PCR循环。</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4）动力学线性范围：≥9个数量级。</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5）仪器分析功能：绝对定量、相对定量、多重定量、熔解曲线分析。</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2.其他技术参数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通用荧光PCR试剂和耗材。</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★3.配置要求</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（1）主机 （含电源线、≥96孔加热模块，可正常开机，实现基本业务需求） 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（2）专用工作站1台（相当于或优于6核心12线程，单核主频4.4GHz的CPU，8GB内存，1T硬盘, 独立显卡，DVD/CD-RW, 含正版操作系统与仪器软件能兼容，不小于19寸液晶显示器，高速数据处理输入输出系统）或内置工作站1台。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（3）定量PCR软件（含阴阳性结果自动判定软件、反应板设置软件，免费升级） 1套。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（4）安装试剂盒 1套。</w:t>
            </w: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（5）荧光定量试剂盒 1个。</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bl>
    <w:p>
      <w:pPr>
        <w:widowControl w:val="0"/>
        <w:shd w:val="clear" w:color="auto" w:fill="auto"/>
        <w:adjustRightInd/>
        <w:snapToGrid/>
        <w:spacing w:line="240" w:lineRule="auto"/>
        <w:ind w:firstLine="420" w:firstLineChars="200"/>
        <w:rPr>
          <w:kern w:val="2"/>
          <w:szCs w:val="21"/>
        </w:rPr>
      </w:pPr>
    </w:p>
    <w:p>
      <w:pPr>
        <w:widowControl w:val="0"/>
        <w:shd w:val="clear" w:color="auto" w:fill="auto"/>
        <w:adjustRightInd/>
        <w:snapToGrid/>
        <w:spacing w:line="240" w:lineRule="auto"/>
        <w:ind w:firstLine="422" w:firstLineChars="200"/>
        <w:rPr>
          <w:kern w:val="2"/>
          <w:szCs w:val="21"/>
        </w:rPr>
      </w:pPr>
      <w:r>
        <w:rPr>
          <w:rFonts w:hint="eastAsia"/>
          <w:b/>
          <w:bCs/>
          <w:kern w:val="2"/>
          <w:szCs w:val="21"/>
        </w:rPr>
        <w:t>（二）采购标的2</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8"/>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202"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1.主要技术参数：</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（1）热循环系统：珀耳帖效应系统。</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（2）激发光源：卤钨灯或LED。</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★（3）通道数：至少具有6 色激发光通道和6 色检测光通道，并且每一孔可同时检测6 种不同的目标基因。</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▲（4）检测方式：实时动态检测；同时收集96孔检测信号。</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（5）检测系统：CCD检测器或PDT检测器或PMT检测器或cmos检测器。</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▲（6）兼容支持多种模块，包括标准96孔模块、快速96孔模块、384孔模块。</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（7）定量PCR软件、阴阳性结果自动判定软件、反应板设置软件、可支持Rox荧光校正。</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★（8）温控模块最高升温速率：6.5 ℃/秒、温度精确度：±0.25 ℃，控温范围：4 ℃–99 ℃。</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★（9）样品通量≥96个、样品体积10 µL-50 µl。</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（10）荧光定量方法：Taqman探针，或Taqman MGB探针或FRET探针或SYBR Green I染料等。</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（11）检测灵敏度：能检测到一个拷贝数的基因。</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（12）支持快速反应模式:30分钟内可完成40个标准PCR循环。</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▲（13）动力学线性范围：≥9个数量级。</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▲（14）仪器分析功能：绝对定量、相对定量、多重定量、熔解曲线分析、高分辨率溶解曲线分析。</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（15）通用荧光PCR试剂和耗材。</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★2.配置要求：</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（1）主机 （含电源线、≥96孔加热模块） 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（2）专用工作站1台（相当于或优于6核心12线程，单核主频4.4GHz的CPU，8GB内存，1T硬盘, 独立显卡，DVD/CD-RW, 含正版操作系统与仪器软件能兼容，不小于19寸液晶显示器，高速数据处理输入输出系统）或内置工作站1台。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（3）定量PCR软件（含阴阳性结果自动判定软件、反应板设置软件，免费升级）1套；高分辨熔解曲线分析软件1套。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（4）96孔定量PCR模块 1台。</w:t>
            </w: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专业引物探针设计软件、安装试剂包一套。</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bl>
    <w:p>
      <w:pPr>
        <w:widowControl w:val="0"/>
        <w:shd w:val="clear" w:color="auto" w:fill="auto"/>
        <w:tabs>
          <w:tab w:val="clear" w:pos="426"/>
        </w:tabs>
        <w:adjustRightInd/>
        <w:snapToGrid/>
        <w:spacing w:line="240" w:lineRule="auto"/>
        <w:ind w:firstLine="420" w:firstLineChars="200"/>
        <w:rPr>
          <w:kern w:val="2"/>
          <w:szCs w:val="21"/>
        </w:rPr>
      </w:pP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（三）采购标的3</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184"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1.主要技术参数</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（1）热循环采用珀耳帖效应系统，加热冷却方式为半导体</w:t>
            </w:r>
            <w:r>
              <w:rPr>
                <w:rFonts w:ascii="Times New Roman"/>
                <w:szCs w:val="21"/>
              </w:rPr>
              <w:t>控温</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（2）温度范围：4–99.9℃。</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numPr>
                <w:ilvl w:val="255"/>
                <w:numId w:val="0"/>
              </w:numPr>
              <w:adjustRightInd/>
              <w:snapToGrid/>
              <w:spacing w:line="240" w:lineRule="auto"/>
              <w:ind w:left="425"/>
              <w:rPr>
                <w:kern w:val="2"/>
                <w:szCs w:val="21"/>
              </w:rPr>
            </w:pPr>
            <w:r>
              <w:rPr>
                <w:rFonts w:hint="eastAsia" w:ascii="Times New Roman"/>
                <w:szCs w:val="21"/>
              </w:rPr>
              <w:t>（3）</w:t>
            </w:r>
            <w:r>
              <w:rPr>
                <w:rFonts w:ascii="Times New Roman"/>
                <w:szCs w:val="21"/>
              </w:rPr>
              <w:t>支持半导体控温的加热模块，包括但不限于0.2ml ×96孔、0.1ml ×96孔</w:t>
            </w:r>
            <w:r>
              <w:rPr>
                <w:rFonts w:hint="eastAsia" w:ascii="Times New Roman"/>
                <w:szCs w:val="21"/>
              </w:rPr>
              <w:t>和</w:t>
            </w:r>
            <w:r>
              <w:rPr>
                <w:rFonts w:ascii="Times New Roman"/>
                <w:szCs w:val="21"/>
              </w:rPr>
              <w:t>384孔模块</w:t>
            </w:r>
            <w:r>
              <w:rPr>
                <w:rFonts w:hint="eastAsia" w:ascii="Times New Roman"/>
                <w:szCs w:val="21"/>
              </w:rPr>
              <w:t>；</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4</w:t>
            </w:r>
            <w:r>
              <w:rPr>
                <w:rFonts w:hint="eastAsia"/>
                <w:kern w:val="2"/>
                <w:szCs w:val="21"/>
              </w:rPr>
              <w:t>）</w:t>
            </w:r>
            <w:r>
              <w:rPr>
                <w:rFonts w:ascii="Times New Roman"/>
                <w:szCs w:val="21"/>
              </w:rPr>
              <w:t>各个模块之间可随时根据需求便捷地进行更换</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5</w:t>
            </w:r>
            <w:r>
              <w:rPr>
                <w:rFonts w:hint="eastAsia"/>
                <w:kern w:val="2"/>
                <w:szCs w:val="21"/>
              </w:rPr>
              <w:t>）</w:t>
            </w:r>
            <w:r>
              <w:rPr>
                <w:rFonts w:ascii="Times New Roman"/>
                <w:szCs w:val="21"/>
              </w:rPr>
              <w:t>具有</w:t>
            </w:r>
            <w:r>
              <w:rPr>
                <w:rFonts w:hint="eastAsia" w:ascii="Times New Roman"/>
                <w:szCs w:val="21"/>
              </w:rPr>
              <w:t>≥6个</w:t>
            </w:r>
            <w:r>
              <w:rPr>
                <w:rFonts w:ascii="Times New Roman"/>
                <w:szCs w:val="21"/>
              </w:rPr>
              <w:t>独立的温控</w:t>
            </w:r>
            <w:r>
              <w:rPr>
                <w:rFonts w:hint="eastAsia" w:ascii="Times New Roman"/>
                <w:szCs w:val="21"/>
                <w:lang w:eastAsia="zh-CN"/>
              </w:rPr>
              <w:t>区域</w:t>
            </w:r>
            <w:r>
              <w:rPr>
                <w:rFonts w:ascii="Times New Roman"/>
                <w:szCs w:val="21"/>
              </w:rPr>
              <w:t>，每个区域可独立设置反应温度，实时反映每个独立区域的精确温度</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6</w:t>
            </w:r>
            <w:r>
              <w:rPr>
                <w:rFonts w:hint="eastAsia"/>
                <w:kern w:val="2"/>
                <w:szCs w:val="21"/>
              </w:rPr>
              <w:t>）相邻温控区温度差异最多可达5℃，最大温度差异</w:t>
            </w:r>
            <w:r>
              <w:rPr>
                <w:rFonts w:ascii="Times New Roman"/>
                <w:szCs w:val="21"/>
              </w:rPr>
              <w:t>≥</w:t>
            </w:r>
            <w:r>
              <w:rPr>
                <w:rFonts w:hint="eastAsia"/>
                <w:kern w:val="2"/>
                <w:szCs w:val="21"/>
              </w:rPr>
              <w:t>25℃。</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7</w:t>
            </w:r>
            <w:r>
              <w:rPr>
                <w:rFonts w:hint="eastAsia"/>
                <w:kern w:val="2"/>
                <w:szCs w:val="21"/>
              </w:rPr>
              <w:t>）激发光源为高亮度冷白光半导体光源，工作寿命&gt;5年。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w:t>
            </w:r>
            <w:r>
              <w:rPr>
                <w:rFonts w:hint="eastAsia"/>
                <w:b/>
                <w:bCs/>
                <w:kern w:val="2"/>
                <w:szCs w:val="21"/>
                <w:lang w:val="en-US" w:eastAsia="zh-CN"/>
              </w:rPr>
              <w:t>8</w:t>
            </w:r>
            <w:r>
              <w:rPr>
                <w:rFonts w:hint="eastAsia"/>
                <w:b/>
                <w:bCs/>
                <w:kern w:val="2"/>
                <w:szCs w:val="21"/>
              </w:rPr>
              <w:t>）检测系统为低温高分辨CMOS一次成像，实时动态检测，动态显示，96孔或384孔均同步成像检测仪器支持的所有荧光染料，无逐个扫描时间差。</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9</w:t>
            </w:r>
            <w:r>
              <w:rPr>
                <w:rFonts w:hint="eastAsia"/>
                <w:kern w:val="2"/>
                <w:szCs w:val="21"/>
              </w:rPr>
              <w:t>）</w:t>
            </w:r>
            <w:r>
              <w:rPr>
                <w:rFonts w:hint="eastAsia" w:ascii="Times New Roman"/>
                <w:szCs w:val="21"/>
              </w:rPr>
              <w:t>具有≥</w:t>
            </w:r>
            <w:r>
              <w:rPr>
                <w:rFonts w:ascii="Times New Roman"/>
                <w:szCs w:val="21"/>
              </w:rPr>
              <w:t>6色的发射光通道</w:t>
            </w:r>
            <w:r>
              <w:rPr>
                <w:rFonts w:hint="eastAsia" w:ascii="Times New Roman"/>
                <w:szCs w:val="21"/>
              </w:rPr>
              <w:t>和≥</w:t>
            </w:r>
            <w:r>
              <w:rPr>
                <w:rFonts w:ascii="Times New Roman"/>
                <w:szCs w:val="21"/>
              </w:rPr>
              <w:t>6色的激发光通道</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0</w:t>
            </w:r>
            <w:r>
              <w:rPr>
                <w:rFonts w:hint="eastAsia"/>
                <w:kern w:val="2"/>
                <w:szCs w:val="21"/>
              </w:rPr>
              <w:t>）单管单次反应可同时检测</w:t>
            </w:r>
            <w:r>
              <w:rPr>
                <w:rFonts w:hint="eastAsia" w:ascii="Times New Roman"/>
                <w:szCs w:val="21"/>
              </w:rPr>
              <w:t>≥</w:t>
            </w:r>
            <w:r>
              <w:rPr>
                <w:rFonts w:hint="eastAsia"/>
                <w:kern w:val="2"/>
                <w:szCs w:val="21"/>
              </w:rPr>
              <w:t>6种不同靶标。</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1</w:t>
            </w:r>
            <w:r>
              <w:rPr>
                <w:rFonts w:hint="eastAsia"/>
                <w:kern w:val="2"/>
                <w:szCs w:val="21"/>
              </w:rPr>
              <w:t>）能同时检测并区分VIC荧光和TAMRA荧光，以用于基因拷贝数(CNV)检测。</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2</w:t>
            </w:r>
            <w:r>
              <w:rPr>
                <w:rFonts w:hint="eastAsia"/>
                <w:kern w:val="2"/>
                <w:szCs w:val="21"/>
              </w:rPr>
              <w:t>）支持ROX荧光或其他方式校正去除移液误差和耗材透光度引起的物理误差。</w:t>
            </w:r>
            <w:r>
              <w:rPr>
                <w:rFonts w:hint="eastAsia"/>
                <w:b/>
                <w:bCs/>
                <w:color w:val="FF0000"/>
                <w:kern w:val="2"/>
                <w:szCs w:val="21"/>
              </w:rPr>
              <w:t>（提供产品说明书或官方网站截图或软件截图等证明材料）</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3</w:t>
            </w:r>
            <w:r>
              <w:rPr>
                <w:rFonts w:hint="eastAsia"/>
                <w:kern w:val="2"/>
                <w:szCs w:val="21"/>
              </w:rPr>
              <w:t>）</w:t>
            </w:r>
            <w:r>
              <w:rPr>
                <w:rFonts w:ascii="Times New Roman"/>
                <w:szCs w:val="21"/>
              </w:rPr>
              <w:t>安装时各检测通道都需已完成常用染料的出厂校正</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w:t>
            </w:r>
            <w:r>
              <w:rPr>
                <w:rFonts w:hint="eastAsia"/>
                <w:b/>
                <w:bCs/>
                <w:kern w:val="2"/>
                <w:szCs w:val="21"/>
                <w:lang w:val="en-US" w:eastAsia="zh-CN"/>
              </w:rPr>
              <w:t>4</w:t>
            </w:r>
            <w:r>
              <w:rPr>
                <w:rFonts w:hint="eastAsia"/>
                <w:b/>
                <w:bCs/>
                <w:kern w:val="2"/>
                <w:szCs w:val="21"/>
              </w:rPr>
              <w:t>）升降温速率≥6.5℃/秒；</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5</w:t>
            </w:r>
            <w:r>
              <w:rPr>
                <w:rFonts w:hint="eastAsia"/>
                <w:kern w:val="2"/>
                <w:szCs w:val="21"/>
              </w:rPr>
              <w:t>）运行速度快，</w:t>
            </w:r>
            <w:r>
              <w:rPr>
                <w:rFonts w:hint="eastAsia" w:ascii="Times New Roman"/>
                <w:szCs w:val="21"/>
              </w:rPr>
              <w:t>≤</w:t>
            </w:r>
            <w:r>
              <w:rPr>
                <w:rFonts w:ascii="Times New Roman"/>
                <w:szCs w:val="21"/>
              </w:rPr>
              <w:t>30分钟完成40个循环</w:t>
            </w:r>
            <w:r>
              <w:rPr>
                <w:rFonts w:hint="eastAsia"/>
                <w:kern w:val="2"/>
                <w:szCs w:val="21"/>
              </w:rPr>
              <w:t>，并能提供现场验证实验支持。</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6</w:t>
            </w:r>
            <w:r>
              <w:rPr>
                <w:rFonts w:hint="eastAsia"/>
                <w:kern w:val="2"/>
                <w:szCs w:val="21"/>
              </w:rPr>
              <w:t>）检测灵敏度高，低至单拷贝检测/反应体系。</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7</w:t>
            </w:r>
            <w:r>
              <w:rPr>
                <w:rFonts w:hint="eastAsia"/>
                <w:kern w:val="2"/>
                <w:szCs w:val="21"/>
              </w:rPr>
              <w:t>）检测精密度高，可区分1.5倍拷贝数差异，置信度≥99.7%。</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w:t>
            </w:r>
            <w:r>
              <w:rPr>
                <w:rFonts w:hint="eastAsia"/>
                <w:kern w:val="2"/>
                <w:szCs w:val="21"/>
                <w:lang w:val="en-US" w:eastAsia="zh-CN"/>
              </w:rPr>
              <w:t>8</w:t>
            </w:r>
            <w:r>
              <w:rPr>
                <w:rFonts w:hint="eastAsia"/>
                <w:kern w:val="2"/>
                <w:szCs w:val="21"/>
              </w:rPr>
              <w:t>）仪器具有宽广的动态范围，不低于10个对数的线性动态范围。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w:t>
            </w:r>
            <w:r>
              <w:rPr>
                <w:rFonts w:hint="eastAsia"/>
                <w:kern w:val="2"/>
                <w:szCs w:val="21"/>
                <w:lang w:val="en-US" w:eastAsia="zh-CN"/>
              </w:rPr>
              <w:t>19</w:t>
            </w:r>
            <w:r>
              <w:rPr>
                <w:rFonts w:hint="eastAsia"/>
                <w:kern w:val="2"/>
                <w:szCs w:val="21"/>
              </w:rPr>
              <w:t>）支持高分辨率熔解曲线，分辨率最小至 0.02°C。</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w:t>
            </w:r>
            <w:r>
              <w:rPr>
                <w:rFonts w:hint="eastAsia"/>
                <w:kern w:val="2"/>
                <w:szCs w:val="21"/>
                <w:lang w:val="en-US" w:eastAsia="zh-CN"/>
              </w:rPr>
              <w:t>0</w:t>
            </w:r>
            <w:r>
              <w:rPr>
                <w:rFonts w:hint="eastAsia"/>
                <w:kern w:val="2"/>
                <w:szCs w:val="21"/>
              </w:rPr>
              <w:t>）样本检测的重复性高，对高浓度和低浓度核酸样本分别进行重复性检测，CV值＜3%。</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w:t>
            </w:r>
            <w:r>
              <w:rPr>
                <w:rFonts w:hint="eastAsia"/>
                <w:kern w:val="2"/>
                <w:szCs w:val="21"/>
                <w:lang w:val="en-US" w:eastAsia="zh-CN"/>
              </w:rPr>
              <w:t>1</w:t>
            </w:r>
            <w:r>
              <w:rPr>
                <w:rFonts w:hint="eastAsia"/>
                <w:kern w:val="2"/>
                <w:szCs w:val="21"/>
              </w:rPr>
              <w:t>）内置电容式触摸屏，可提供一键式的实验方案，同时支持触摸屏设置个性化实验程序并启动实验；支持实时察看实验进程以及最终实验结果查看和分析。</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w:t>
            </w:r>
            <w:r>
              <w:rPr>
                <w:rFonts w:hint="eastAsia"/>
                <w:kern w:val="2"/>
                <w:szCs w:val="21"/>
                <w:lang w:val="en-US" w:eastAsia="zh-CN"/>
              </w:rPr>
              <w:t>2</w:t>
            </w:r>
            <w:r>
              <w:rPr>
                <w:rFonts w:hint="eastAsia"/>
                <w:kern w:val="2"/>
                <w:szCs w:val="21"/>
              </w:rPr>
              <w:t>）</w:t>
            </w:r>
            <w:r>
              <w:rPr>
                <w:rFonts w:ascii="Times New Roman"/>
                <w:szCs w:val="21"/>
              </w:rPr>
              <w:t>支持账户管理</w:t>
            </w:r>
            <w:r>
              <w:rPr>
                <w:rFonts w:hint="eastAsia"/>
                <w:kern w:val="2"/>
                <w:szCs w:val="21"/>
              </w:rPr>
              <w:t>。</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w:t>
            </w:r>
            <w:r>
              <w:rPr>
                <w:rFonts w:hint="eastAsia"/>
                <w:kern w:val="2"/>
                <w:szCs w:val="21"/>
                <w:lang w:val="en-US" w:eastAsia="zh-CN"/>
              </w:rPr>
              <w:t>3</w:t>
            </w:r>
            <w:r>
              <w:rPr>
                <w:rFonts w:hint="eastAsia"/>
                <w:kern w:val="2"/>
                <w:szCs w:val="21"/>
              </w:rPr>
              <w:t>）仪器具有断电保护功能，可支持断电时间在一小时之内的实验正常恢复。</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w:t>
            </w:r>
            <w:r>
              <w:rPr>
                <w:rFonts w:hint="eastAsia"/>
                <w:kern w:val="2"/>
                <w:szCs w:val="21"/>
                <w:lang w:val="en-US" w:eastAsia="zh-CN"/>
              </w:rPr>
              <w:t>4</w:t>
            </w:r>
            <w:r>
              <w:rPr>
                <w:rFonts w:hint="eastAsia"/>
                <w:kern w:val="2"/>
                <w:szCs w:val="21"/>
              </w:rPr>
              <w:t>）软件自带原厂研发的多组分算法，可去除多色荧光间的相互干扰，保证多重分析结果的准确性，无需颜色补偿。</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2.其他参数：</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（1）触摸屏支持智能远程支持，一键即可远程联系到原厂的技术支持和工程师，第一时间获取售后支持，显著缩短问题解决时间。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（2）支持PCR主机独立运行，还可同时连接电脑，除支持仪器的电脑储存数据外，仪器也支持自身储存数据。</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rPr>
                <w:kern w:val="2"/>
                <w:szCs w:val="21"/>
              </w:rPr>
            </w:pPr>
            <w:r>
              <w:rPr>
                <w:rFonts w:hint="eastAsia"/>
                <w:b/>
                <w:bCs/>
                <w:kern w:val="2"/>
                <w:szCs w:val="21"/>
              </w:rPr>
              <w:t>3.配置要求：</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b/>
                <w:bCs/>
                <w:kern w:val="2"/>
                <w:szCs w:val="21"/>
              </w:rPr>
            </w:pPr>
            <w:r>
              <w:rPr>
                <w:rFonts w:hint="eastAsia" w:ascii="Times New Roman"/>
                <w:szCs w:val="21"/>
              </w:rPr>
              <w:t xml:space="preserve"> </w:t>
            </w:r>
            <w:r>
              <w:rPr>
                <w:rFonts w:ascii="Times New Roman"/>
                <w:szCs w:val="21"/>
              </w:rPr>
              <w:t>★</w:t>
            </w:r>
            <w:r>
              <w:rPr>
                <w:rFonts w:hint="eastAsia" w:ascii="Times New Roman"/>
                <w:szCs w:val="21"/>
              </w:rPr>
              <w:t>（1）</w:t>
            </w:r>
            <w:r>
              <w:rPr>
                <w:rFonts w:ascii="Times New Roman"/>
                <w:szCs w:val="21"/>
              </w:rPr>
              <w:t>实时荧光定量PCR主机一台；配备0.2ml ×96孔模块一套；工作站一套；数据采集和分析软件一套；安装试剂盒一套。</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ascii="Times New Roman"/>
                <w:szCs w:val="21"/>
              </w:rPr>
              <w:t xml:space="preserve"> </w:t>
            </w:r>
            <w:r>
              <w:rPr>
                <w:rFonts w:asci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b/>
                <w:bCs/>
                <w:kern w:val="2"/>
                <w:szCs w:val="21"/>
              </w:rPr>
            </w:pPr>
            <w:r>
              <w:rPr>
                <w:rFonts w:hint="eastAsia" w:ascii="Times New Roman"/>
                <w:szCs w:val="21"/>
              </w:rPr>
              <w:t>（2）配备 0.1ml x96 孔和 384 孔模块各一套；</w:t>
            </w:r>
          </w:p>
        </w:tc>
        <w:tc>
          <w:tcPr>
            <w:tcW w:w="1184" w:type="dxa"/>
            <w:vAlign w:val="center"/>
          </w:tcPr>
          <w:p>
            <w:pPr>
              <w:widowControl w:val="0"/>
              <w:shd w:val="clear" w:color="auto" w:fill="auto"/>
              <w:adjustRightInd/>
              <w:snapToGrid/>
              <w:spacing w:line="240" w:lineRule="auto"/>
              <w:jc w:val="center"/>
              <w:rPr>
                <w:b/>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b/>
                <w:bCs/>
                <w:kern w:val="2"/>
                <w:szCs w:val="21"/>
              </w:rPr>
            </w:pPr>
            <w:r>
              <w:rPr>
                <w:rFonts w:hint="eastAsia" w:ascii="Times New Roman"/>
                <w:szCs w:val="21"/>
              </w:rPr>
              <w:t>（3）</w:t>
            </w:r>
            <w:r>
              <w:rPr>
                <w:rFonts w:ascii="Times New Roman"/>
                <w:szCs w:val="21"/>
              </w:rPr>
              <w:t>专用离心机一台</w:t>
            </w:r>
            <w:r>
              <w:rPr>
                <w:rFonts w:hint="eastAsia" w:ascii="Times New Roman"/>
                <w:szCs w:val="21"/>
              </w:rPr>
              <w:t>。</w:t>
            </w:r>
          </w:p>
        </w:tc>
        <w:tc>
          <w:tcPr>
            <w:tcW w:w="1184" w:type="dxa"/>
            <w:vAlign w:val="center"/>
          </w:tcPr>
          <w:p>
            <w:pPr>
              <w:widowControl w:val="0"/>
              <w:shd w:val="clear" w:color="auto" w:fill="auto"/>
              <w:adjustRightInd/>
              <w:snapToGrid/>
              <w:spacing w:line="240" w:lineRule="auto"/>
              <w:jc w:val="center"/>
              <w:rPr>
                <w:b/>
                <w:bCs/>
                <w:kern w:val="2"/>
                <w:szCs w:val="21"/>
              </w:rPr>
            </w:pPr>
          </w:p>
        </w:tc>
      </w:tr>
    </w:tbl>
    <w:p>
      <w:pPr>
        <w:widowControl w:val="0"/>
        <w:shd w:val="clear" w:color="auto" w:fill="auto"/>
        <w:adjustRightInd/>
        <w:snapToGrid/>
        <w:spacing w:line="240" w:lineRule="auto"/>
        <w:ind w:firstLine="420" w:firstLineChars="200"/>
        <w:jc w:val="left"/>
        <w:rPr>
          <w:rFonts w:cs="Times New Roman"/>
          <w:kern w:val="2"/>
          <w:szCs w:val="21"/>
        </w:rPr>
      </w:pPr>
    </w:p>
    <w:p>
      <w:pPr>
        <w:widowControl w:val="0"/>
        <w:shd w:val="clear" w:color="auto" w:fill="auto"/>
        <w:tabs>
          <w:tab w:val="clear" w:pos="426"/>
        </w:tabs>
        <w:adjustRightInd/>
        <w:snapToGrid/>
        <w:spacing w:line="240" w:lineRule="auto"/>
        <w:ind w:firstLine="422" w:firstLineChars="200"/>
        <w:jc w:val="center"/>
        <w:outlineLvl w:val="3"/>
        <w:rPr>
          <w:rFonts w:cs="Times New Roman"/>
          <w:b/>
          <w:bCs/>
          <w:kern w:val="2"/>
          <w:szCs w:val="21"/>
        </w:rPr>
      </w:pPr>
      <w:r>
        <w:rPr>
          <w:rFonts w:hint="eastAsia" w:cs="Times New Roman"/>
          <w:b/>
          <w:bCs/>
          <w:kern w:val="2"/>
          <w:szCs w:val="21"/>
        </w:rPr>
        <w:t>02包 技术要求</w:t>
      </w:r>
    </w:p>
    <w:p>
      <w:pPr>
        <w:widowControl w:val="0"/>
        <w:shd w:val="clear" w:color="auto" w:fill="auto"/>
        <w:adjustRightInd/>
        <w:snapToGrid/>
        <w:spacing w:line="240" w:lineRule="auto"/>
        <w:ind w:firstLine="422" w:firstLineChars="200"/>
        <w:rPr>
          <w:rFonts w:cs="Times New Roman"/>
          <w:b/>
          <w:bCs/>
          <w:kern w:val="2"/>
          <w:szCs w:val="21"/>
        </w:rPr>
      </w:pPr>
      <w:r>
        <w:rPr>
          <w:rFonts w:hint="eastAsia" w:cs="Times New Roman"/>
          <w:b/>
          <w:bCs/>
          <w:kern w:val="2"/>
          <w:szCs w:val="21"/>
        </w:rPr>
        <w:t>（一）采购标的4</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4"/>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jc w:val="center"/>
              <w:rPr>
                <w:b/>
                <w:bCs/>
                <w:szCs w:val="21"/>
              </w:rPr>
            </w:pPr>
            <w:r>
              <w:rPr>
                <w:rFonts w:hint="eastAsia"/>
                <w:b/>
                <w:bCs/>
                <w:szCs w:val="21"/>
              </w:rPr>
              <w:t>技术参数要求</w:t>
            </w:r>
          </w:p>
        </w:tc>
        <w:tc>
          <w:tcPr>
            <w:tcW w:w="1046" w:type="dxa"/>
            <w:vAlign w:val="center"/>
          </w:tcPr>
          <w:p>
            <w:pPr>
              <w:widowControl w:val="0"/>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2" w:firstLineChars="200"/>
              <w:rPr>
                <w:b/>
                <w:bCs/>
                <w:szCs w:val="21"/>
              </w:rPr>
            </w:pPr>
            <w:r>
              <w:rPr>
                <w:rFonts w:hint="eastAsia"/>
                <w:b/>
                <w:bCs/>
                <w:szCs w:val="21"/>
              </w:rPr>
              <w:t>1.技术参数</w:t>
            </w:r>
          </w:p>
        </w:tc>
        <w:tc>
          <w:tcPr>
            <w:tcW w:w="1046" w:type="dxa"/>
            <w:vAlign w:val="center"/>
          </w:tcPr>
          <w:p>
            <w:pPr>
              <w:widowControl w:val="0"/>
              <w:jc w:val="center"/>
              <w:rPr>
                <w:b/>
                <w:bCs/>
                <w:szCs w:val="21"/>
              </w:rPr>
            </w:pPr>
            <w:r>
              <w:rPr>
                <w:rFonts w:hint="eastAsia"/>
                <w:b/>
                <w:bCs/>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▲（1）能将1-96个样品的反应体系分为≥20000个纳升级的油包水微滴，可合并为≥100000个纳升级的油包水微滴，单个反应体系≥20µl，适用于Taqman探针与染料法。</w:t>
            </w:r>
          </w:p>
        </w:tc>
        <w:tc>
          <w:tcPr>
            <w:tcW w:w="1046" w:type="dxa"/>
            <w:vAlign w:val="center"/>
          </w:tcPr>
          <w:p>
            <w:pPr>
              <w:widowControl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2" w:firstLineChars="200"/>
              <w:rPr>
                <w:b/>
                <w:bCs/>
                <w:szCs w:val="21"/>
              </w:rPr>
            </w:pPr>
            <w:r>
              <w:rPr>
                <w:rFonts w:hint="eastAsia"/>
                <w:b/>
                <w:bCs/>
                <w:szCs w:val="21"/>
              </w:rPr>
              <w:t>★（2）全自动微滴生成速度：96个样品≤45分钟，能够以1个样品为单位进行递增，一次可以可同时制备≥96个数字PCR样品，一键全自动操作，全程无需人工干预。</w:t>
            </w:r>
          </w:p>
        </w:tc>
        <w:tc>
          <w:tcPr>
            <w:tcW w:w="1046" w:type="dxa"/>
            <w:vAlign w:val="center"/>
          </w:tcPr>
          <w:p>
            <w:pPr>
              <w:widowControl w:val="0"/>
              <w:jc w:val="center"/>
              <w:rPr>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（3）全自动微滴生成仪彩色触摸屏一键操作，全自动移液功能，全自动无须人工参与，运行过程中可显示程序运行剩余时间和工作状态。</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（4）每个微滴的体积：体积≥0.8nL，直径≥120um。</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（5）样本体积：≥20 μl。</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（6）采用真空负压动力产生微滴，无需外接气体罐或空气压缩机, 方便实验室布置和维护管理，带有HEPA过滤网，降低污染的可能性，保证实验操作人员安全。</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2" w:firstLineChars="200"/>
              <w:rPr>
                <w:b/>
                <w:bCs/>
                <w:szCs w:val="21"/>
              </w:rPr>
            </w:pPr>
            <w:r>
              <w:rPr>
                <w:rFonts w:hint="eastAsia"/>
                <w:b/>
                <w:bCs/>
                <w:szCs w:val="21"/>
              </w:rPr>
              <w:t>★（7）微滴扩增方式：升降温速度≥4度每秒，有温度梯度功能，同时筛选≥8个不同退火温度。</w:t>
            </w:r>
          </w:p>
        </w:tc>
        <w:tc>
          <w:tcPr>
            <w:tcW w:w="1046" w:type="dxa"/>
            <w:vAlign w:val="center"/>
          </w:tcPr>
          <w:p>
            <w:pPr>
              <w:widowControl w:val="0"/>
              <w:jc w:val="center"/>
              <w:rPr>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▲（8）微滴检测方式为流式微滴分析技术，可一次检测1-96个样品（1-100000微滴），微滴分析一次检测1-96个样品以全自动方式运行，中间过程无需人工干预。</w:t>
            </w:r>
          </w:p>
        </w:tc>
        <w:tc>
          <w:tcPr>
            <w:tcW w:w="1046" w:type="dxa"/>
            <w:vAlign w:val="center"/>
          </w:tcPr>
          <w:p>
            <w:pPr>
              <w:widowControl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（9）微滴检测过程无需加入额外的荧光素识别微滴（如ROX），且具有后台实时微滴质控机制，自动记录并剔除质量不合格的微滴，保证检测结果的可靠性。</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▲（10）微滴分析仪可同时激发/检测每个微滴的≥6种颜色荧光信号，FAM, HEX, CY5, CY5.5, ROX, ATTO590等。</w:t>
            </w:r>
          </w:p>
        </w:tc>
        <w:tc>
          <w:tcPr>
            <w:tcW w:w="1046" w:type="dxa"/>
            <w:vAlign w:val="center"/>
          </w:tcPr>
          <w:p>
            <w:pPr>
              <w:widowControl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（11）激发光源LED光源。</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2" w:firstLineChars="200"/>
              <w:rPr>
                <w:b/>
                <w:bCs/>
                <w:szCs w:val="21"/>
              </w:rPr>
            </w:pPr>
            <w:r>
              <w:rPr>
                <w:rFonts w:hint="eastAsia"/>
                <w:b/>
                <w:bCs/>
                <w:szCs w:val="21"/>
              </w:rPr>
              <w:t>★（12）可实现多重荧光（≥6）同时检测：既适用于染料法，又适用于探针法，无需包含ROX在内的染料校正，具有高阶多重检测功能，配备专门的分析软件，可实现单孔检测分析≥12个靶基因。</w:t>
            </w:r>
          </w:p>
        </w:tc>
        <w:tc>
          <w:tcPr>
            <w:tcW w:w="1046" w:type="dxa"/>
            <w:vAlign w:val="center"/>
          </w:tcPr>
          <w:p>
            <w:pPr>
              <w:widowControl w:val="0"/>
              <w:jc w:val="center"/>
              <w:rPr>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（13）检测器：硅光子计数器(MPPC),具有比冷CCD/COMS或者光电倍增管(PMT)更强的单光子分辨能力。</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（14）检测精度：&lt;1.5%CV。</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（15）样品检测速度：≥1000个微滴/秒，全自动进行。</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（16）检测时间：96孔读板微滴读数时间≤2.5小时，全自动进行。</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▲（17）微滴检测耗材类型：普通96孔PCR板，可以同时扩增1-96个数字PCR样品。</w:t>
            </w:r>
          </w:p>
        </w:tc>
        <w:tc>
          <w:tcPr>
            <w:tcW w:w="1046" w:type="dxa"/>
            <w:vAlign w:val="center"/>
          </w:tcPr>
          <w:p>
            <w:pPr>
              <w:widowControl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（18）动态范围：≥5个数量级，1~100,000拷贝数。</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（19）一个样本/单次实验最大检测微滴总数：≥150万。</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（20）支持回收微滴内PCR产物功能， 并用于下游分析和其它应用（如NGS文库制备等），</w:t>
            </w:r>
            <w:r>
              <w:rPr>
                <w:rFonts w:hint="eastAsia"/>
                <w:b/>
                <w:bCs/>
                <w:color w:val="FF0000"/>
                <w:szCs w:val="21"/>
              </w:rPr>
              <w:t>并提供相应的回收方案</w:t>
            </w:r>
            <w:r>
              <w:rPr>
                <w:rFonts w:hint="eastAsia"/>
                <w:szCs w:val="21"/>
              </w:rPr>
              <w:t>。</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▲（21）多重检测分析软件：具有高阶多重检测功能，可实现单孔检测≥12个不同靶基因，即同时检测12重反应。</w:t>
            </w:r>
          </w:p>
        </w:tc>
        <w:tc>
          <w:tcPr>
            <w:tcW w:w="1046" w:type="dxa"/>
            <w:vAlign w:val="center"/>
          </w:tcPr>
          <w:p>
            <w:pPr>
              <w:widowControl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2.其他参数</w:t>
            </w:r>
          </w:p>
        </w:tc>
        <w:tc>
          <w:tcPr>
            <w:tcW w:w="1046" w:type="dxa"/>
            <w:vAlign w:val="center"/>
          </w:tcPr>
          <w:p>
            <w:pPr>
              <w:widowControl w:val="0"/>
              <w:jc w:val="center"/>
              <w:rPr>
                <w:szCs w:val="21"/>
              </w:rPr>
            </w:pPr>
            <w:r>
              <w:rPr>
                <w:rFonts w:hint="eastAsia"/>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（1）通量足够，样品设置灵活，能够以1个样品为单位进行递增，单次全自动检测最大可达96个数字PCR样品，96个孔读板时间≤2.5小时，全程无需人工干预。</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（2）同一块微滴检测板上可以同时设置样品的多个平行检测，也可以设置多个阴阳性对照，无需人工干预（样本和阴阳性对照能够在同一块板上实现检测）。</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（3）提供原厂配套数字PCR技术基因突变位点的检测试剂盒＞400种，提供原厂的哺乳动物细胞和细菌细胞直接包裹分析的产品和应用。</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（4）直接包裹哺乳动物细胞/细菌细胞以测量细胞数量和细胞完整性，提供同品牌超混液，保证实验结果准确性。</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5）拥有原厂开发的Kits或Assay，包括：突变检测（癌症相关，大于3000个）、拷贝数变异分析（癌症、神经系统疾病相关，大于1000个）、基因表达分析（人类和小鼠相关，大于4000个）、融合基因、微卫星不稳定性、病毒滴度、NGS文库质控、传染病病原检测等。</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（6）可直接检测DNA/cDNA/RNA样品（一步法RT-ddPCR反应），</w:t>
            </w:r>
            <w:r>
              <w:rPr>
                <w:rFonts w:hint="eastAsia"/>
                <w:b/>
                <w:bCs/>
                <w:color w:val="FF0000"/>
                <w:szCs w:val="21"/>
              </w:rPr>
              <w:t>投标时提供≥3篇发表的文献证明支持直接检测RNA样本。</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（7）基因组DNA、细菌DNA、融合DNA等实验样品无需片段化前处理。</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（8）软件功能</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1）拥有免费安装的客户端软件能进行机器的操控和数据的软件。软件能显示每个微滴中的 FAM, HEX, CY5, CY5.5, ROX, ATTO590 的荧光信号强度，计算给出每个样品中含有靶分子的起始拷贝数或浓度(copies/ul)、拷贝数变异CNV、稀有突变百分比分度和连锁分析功能，且结果可直接打印输出或导入Excel表格。</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2）可对多个样品（技术重复）的平均值和总误差进行统计分析，软件可合并一次运行中的多个孔的微滴进行数据分析，既能给出泊松误差，又能显示随机误差。</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3）阈值线可自动也可手动，每个样本可单独设定阈值线；具有一维图、二维图、3D图、直方图。</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4）自动识别复杂微滴分簇并支持高阶重检测以及 drop-off 检测功能；</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5）通过每个样品中阴性微滴的比例和泊松分布原理计算靶标核酸的绝对拷贝数。</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6）数据可输出为.csv 文件（用于微软 Excel 或其他类似应用程序），图形和表格能直接复制粘贴至外部应用程序。</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0" w:firstLineChars="200"/>
              <w:rPr>
                <w:szCs w:val="21"/>
              </w:rPr>
            </w:pPr>
            <w:r>
              <w:rPr>
                <w:rFonts w:hint="eastAsia"/>
                <w:szCs w:val="21"/>
              </w:rPr>
              <w:t>7）可提供具有审计追踪功能且符合21CFR Part11的合规版操作分析软件。</w:t>
            </w:r>
          </w:p>
        </w:tc>
        <w:tc>
          <w:tcPr>
            <w:tcW w:w="104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4" w:type="dxa"/>
          </w:tcPr>
          <w:p>
            <w:pPr>
              <w:widowControl w:val="0"/>
              <w:ind w:firstLine="422" w:firstLineChars="200"/>
              <w:rPr>
                <w:b/>
                <w:bCs/>
                <w:szCs w:val="21"/>
              </w:rPr>
            </w:pPr>
            <w:r>
              <w:rPr>
                <w:rFonts w:hint="eastAsia"/>
                <w:b/>
                <w:bCs/>
                <w:szCs w:val="21"/>
              </w:rPr>
              <w:t>★3.配置要求</w:t>
            </w:r>
          </w:p>
          <w:p>
            <w:pPr>
              <w:widowControl w:val="0"/>
              <w:ind w:firstLine="422" w:firstLineChars="200"/>
              <w:rPr>
                <w:b/>
                <w:bCs/>
                <w:szCs w:val="21"/>
              </w:rPr>
            </w:pPr>
            <w:r>
              <w:rPr>
                <w:rFonts w:hint="eastAsia"/>
                <w:b/>
                <w:bCs/>
                <w:szCs w:val="21"/>
              </w:rPr>
              <w:t>（1）全自动微滴生成仪：1台；</w:t>
            </w:r>
          </w:p>
          <w:p>
            <w:pPr>
              <w:widowControl w:val="0"/>
              <w:ind w:firstLine="422" w:firstLineChars="200"/>
              <w:rPr>
                <w:b/>
                <w:bCs/>
                <w:szCs w:val="21"/>
              </w:rPr>
            </w:pPr>
            <w:r>
              <w:rPr>
                <w:rFonts w:hint="eastAsia"/>
                <w:b/>
                <w:bCs/>
                <w:szCs w:val="21"/>
              </w:rPr>
              <w:t>（2）全自动微滴检测分析仪：1台；</w:t>
            </w:r>
          </w:p>
          <w:p>
            <w:pPr>
              <w:widowControl w:val="0"/>
              <w:ind w:firstLine="422" w:firstLineChars="200"/>
              <w:rPr>
                <w:b/>
                <w:bCs/>
                <w:szCs w:val="21"/>
              </w:rPr>
            </w:pPr>
            <w:r>
              <w:rPr>
                <w:rFonts w:hint="eastAsia"/>
                <w:b/>
                <w:bCs/>
                <w:szCs w:val="21"/>
              </w:rPr>
              <w:t>（3）配有全套原装500次实验的试剂和耗材；</w:t>
            </w:r>
          </w:p>
          <w:p>
            <w:pPr>
              <w:widowControl w:val="0"/>
              <w:ind w:firstLine="422" w:firstLineChars="200"/>
              <w:rPr>
                <w:szCs w:val="21"/>
              </w:rPr>
            </w:pPr>
            <w:r>
              <w:rPr>
                <w:rFonts w:hint="eastAsia"/>
                <w:b/>
                <w:bCs/>
                <w:szCs w:val="21"/>
              </w:rPr>
              <w:t>（4）数据处理工作站：工作站 1台和软件1套。</w:t>
            </w:r>
          </w:p>
        </w:tc>
        <w:tc>
          <w:tcPr>
            <w:tcW w:w="1046" w:type="dxa"/>
            <w:vAlign w:val="center"/>
          </w:tcPr>
          <w:p>
            <w:pPr>
              <w:widowControl w:val="0"/>
              <w:jc w:val="center"/>
              <w:rPr>
                <w:b/>
                <w:bCs/>
                <w:szCs w:val="21"/>
              </w:rPr>
            </w:pPr>
            <w:r>
              <w:rPr>
                <w:rFonts w:hint="eastAsia"/>
                <w:b/>
                <w:bCs/>
                <w:szCs w:val="21"/>
              </w:rPr>
              <w:t>★</w:t>
            </w:r>
          </w:p>
        </w:tc>
      </w:tr>
    </w:tbl>
    <w:p>
      <w:pPr>
        <w:widowControl w:val="0"/>
        <w:shd w:val="clear" w:color="auto" w:fill="auto"/>
        <w:tabs>
          <w:tab w:val="clear" w:pos="426"/>
        </w:tabs>
        <w:adjustRightInd/>
        <w:snapToGrid/>
        <w:spacing w:line="240" w:lineRule="auto"/>
        <w:ind w:firstLine="422" w:firstLineChars="200"/>
        <w:rPr>
          <w:rFonts w:cs="Times New Roman"/>
          <w:b/>
          <w:bCs/>
          <w:kern w:val="2"/>
          <w:szCs w:val="21"/>
        </w:rPr>
      </w:pP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3.备注为“标题”的技术参数要求内容不参与评分。</w:t>
      </w:r>
    </w:p>
    <w:p>
      <w:pPr>
        <w:numPr>
          <w:ilvl w:val="0"/>
          <w:numId w:val="2"/>
        </w:numPr>
        <w:adjustRightInd/>
        <w:snapToGrid/>
        <w:spacing w:before="280" w:after="290" w:line="377" w:lineRule="auto"/>
        <w:jc w:val="left"/>
        <w:outlineLvl w:val="2"/>
        <w:rPr>
          <w:b/>
          <w:sz w:val="24"/>
        </w:rPr>
      </w:pPr>
      <w:bookmarkStart w:id="49" w:name="_Toc8996"/>
      <w:bookmarkStart w:id="50" w:name="_Toc150960247"/>
      <w:bookmarkStart w:id="51" w:name="_Toc151386157"/>
      <w:r>
        <w:rPr>
          <w:rFonts w:hint="eastAsia"/>
          <w:b/>
          <w:sz w:val="24"/>
        </w:rPr>
        <w:t>商务要求</w:t>
      </w:r>
      <w:bookmarkEnd w:id="49"/>
      <w:bookmarkEnd w:id="50"/>
      <w:bookmarkEnd w:id="51"/>
    </w:p>
    <w:p>
      <w:pPr>
        <w:widowControl w:val="0"/>
        <w:shd w:val="clear" w:color="auto" w:fill="auto"/>
        <w:tabs>
          <w:tab w:val="clear" w:pos="426"/>
        </w:tabs>
        <w:adjustRightInd/>
        <w:snapToGrid/>
        <w:spacing w:line="240" w:lineRule="auto"/>
        <w:ind w:firstLine="422" w:firstLineChars="200"/>
        <w:jc w:val="center"/>
        <w:outlineLvl w:val="3"/>
        <w:rPr>
          <w:rFonts w:cs="Times New Roman"/>
          <w:b/>
          <w:bCs/>
          <w:kern w:val="2"/>
          <w:szCs w:val="21"/>
        </w:rPr>
      </w:pPr>
      <w:r>
        <w:rPr>
          <w:rFonts w:hint="eastAsia" w:cs="Times New Roman"/>
          <w:b/>
          <w:bCs/>
          <w:kern w:val="2"/>
          <w:szCs w:val="21"/>
        </w:rPr>
        <w:t>01包 采购标的1、采购标的2商务要求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供货期限：中标</w:t>
      </w:r>
      <w:r>
        <w:rPr>
          <w:rFonts w:hint="eastAsia" w:cs="Times New Roman"/>
          <w:b/>
          <w:bCs/>
          <w:kern w:val="2"/>
          <w:szCs w:val="21"/>
        </w:rPr>
        <w:t>人</w:t>
      </w:r>
      <w:r>
        <w:rPr>
          <w:rFonts w:hint="eastAsia" w:cs="Times New Roman"/>
          <w:b/>
          <w:bCs/>
          <w:kern w:val="2"/>
          <w:szCs w:val="21"/>
          <w:lang w:eastAsia="zh-TW"/>
        </w:rPr>
        <w:t>应在合同签订之日起</w:t>
      </w:r>
      <w:r>
        <w:rPr>
          <w:rFonts w:hint="eastAsia" w:cs="Times New Roman"/>
          <w:b/>
          <w:bCs/>
          <w:kern w:val="2"/>
          <w:szCs w:val="21"/>
        </w:rPr>
        <w:t>45</w:t>
      </w:r>
      <w:r>
        <w:rPr>
          <w:rFonts w:hint="eastAsia" w:cs="Times New Roman"/>
          <w:b/>
          <w:bCs/>
          <w:kern w:val="2"/>
          <w:szCs w:val="21"/>
          <w:lang w:eastAsia="zh-TW"/>
        </w:rPr>
        <w:t>个日历日内交付货物并完成安装调试。</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质保期：产品安装调试经</w:t>
      </w:r>
      <w:r>
        <w:rPr>
          <w:rFonts w:hint="eastAsia" w:cs="Times New Roman"/>
          <w:b/>
          <w:bCs/>
          <w:kern w:val="2"/>
          <w:szCs w:val="21"/>
        </w:rPr>
        <w:t>采购人（</w:t>
      </w:r>
      <w:r>
        <w:rPr>
          <w:rFonts w:hint="eastAsia" w:cs="Times New Roman"/>
          <w:b/>
          <w:bCs/>
          <w:kern w:val="2"/>
          <w:szCs w:val="21"/>
          <w:lang w:eastAsia="zh-TW"/>
        </w:rPr>
        <w:t>用户</w:t>
      </w:r>
      <w:r>
        <w:rPr>
          <w:rFonts w:hint="eastAsia" w:cs="Times New Roman"/>
          <w:b/>
          <w:bCs/>
          <w:kern w:val="2"/>
          <w:szCs w:val="21"/>
        </w:rPr>
        <w:t>）</w:t>
      </w:r>
      <w:r>
        <w:rPr>
          <w:rFonts w:hint="eastAsia" w:cs="Times New Roman"/>
          <w:b/>
          <w:bCs/>
          <w:kern w:val="2"/>
          <w:szCs w:val="21"/>
          <w:lang w:eastAsia="zh-TW"/>
        </w:rPr>
        <w:t>验收合格当天起，</w:t>
      </w:r>
      <w:r>
        <w:rPr>
          <w:rFonts w:hint="eastAsia" w:cs="Times New Roman"/>
          <w:b/>
          <w:bCs/>
          <w:kern w:val="2"/>
          <w:szCs w:val="21"/>
        </w:rPr>
        <w:t>全机</w:t>
      </w:r>
      <w:r>
        <w:rPr>
          <w:rFonts w:hint="eastAsia" w:cs="Times New Roman"/>
          <w:b/>
          <w:bCs/>
          <w:kern w:val="2"/>
          <w:szCs w:val="21"/>
          <w:lang w:eastAsia="zh-TW"/>
        </w:rPr>
        <w:t>质保期</w:t>
      </w:r>
      <w:r>
        <w:rPr>
          <w:rFonts w:hint="eastAsia" w:cs="Times New Roman"/>
          <w:b/>
          <w:bCs/>
          <w:kern w:val="2"/>
          <w:szCs w:val="21"/>
        </w:rPr>
        <w:t>2</w:t>
      </w:r>
      <w:r>
        <w:rPr>
          <w:rFonts w:hint="eastAsia" w:cs="Times New Roman"/>
          <w:b/>
          <w:bCs/>
          <w:kern w:val="2"/>
          <w:szCs w:val="21"/>
          <w:lang w:eastAsia="zh-TW"/>
        </w:rPr>
        <w:t>年。</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rPr>
        <w:t>4．</w:t>
      </w:r>
      <w:r>
        <w:rPr>
          <w:rFonts w:hint="eastAsia" w:cs="Times New Roman"/>
          <w:b/>
          <w:bCs/>
          <w:kern w:val="2"/>
          <w:szCs w:val="21"/>
          <w:lang w:eastAsia="zh-TW"/>
        </w:rPr>
        <w:t>售后服务要求</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（1）中标</w:t>
      </w:r>
      <w:r>
        <w:rPr>
          <w:rFonts w:hint="eastAsia" w:cs="Times New Roman"/>
          <w:kern w:val="2"/>
          <w:szCs w:val="21"/>
        </w:rPr>
        <w:t>人</w:t>
      </w:r>
      <w:r>
        <w:rPr>
          <w:rFonts w:hint="eastAsia" w:cs="Times New Roman"/>
          <w:kern w:val="2"/>
          <w:szCs w:val="21"/>
          <w:lang w:eastAsia="zh-TW"/>
        </w:rPr>
        <w:t>应提供原产商质量保证和售后服务承诺书。在质量保证期内设备发生故障，中标</w:t>
      </w:r>
      <w:r>
        <w:rPr>
          <w:rFonts w:hint="eastAsia" w:cs="Times New Roman"/>
          <w:kern w:val="2"/>
          <w:szCs w:val="21"/>
        </w:rPr>
        <w:t>人</w:t>
      </w:r>
      <w:r>
        <w:rPr>
          <w:rFonts w:hint="eastAsia" w:cs="Times New Roman"/>
          <w:kern w:val="2"/>
          <w:szCs w:val="21"/>
          <w:lang w:eastAsia="zh-TW"/>
        </w:rPr>
        <w:t>应提供原厂商售后维修和更换零件服务（不额外收费）。质保期后，中标</w:t>
      </w:r>
      <w:r>
        <w:rPr>
          <w:rFonts w:hint="eastAsia" w:cs="Times New Roman"/>
          <w:kern w:val="2"/>
          <w:szCs w:val="21"/>
        </w:rPr>
        <w:t>人</w:t>
      </w:r>
      <w:r>
        <w:rPr>
          <w:rFonts w:hint="eastAsia" w:cs="Times New Roman"/>
          <w:kern w:val="2"/>
          <w:szCs w:val="21"/>
          <w:lang w:eastAsia="zh-TW"/>
        </w:rPr>
        <w:t>提供设备终身技术支持，包括故障排除和零配件的供应、仪器软件升级和培训（不额外收费）；设备出现故障需更换配件时，只收取零配件费用，免收其它费用。合同签订后，在1周内中标</w:t>
      </w:r>
      <w:r>
        <w:rPr>
          <w:rFonts w:hint="eastAsia" w:cs="Times New Roman"/>
          <w:kern w:val="2"/>
          <w:szCs w:val="21"/>
        </w:rPr>
        <w:t>人</w:t>
      </w:r>
      <w:r>
        <w:rPr>
          <w:rFonts w:hint="eastAsia" w:cs="Times New Roman"/>
          <w:kern w:val="2"/>
          <w:szCs w:val="21"/>
          <w:lang w:eastAsia="zh-TW"/>
        </w:rPr>
        <w:t>将仪器操作间的装修要求和水、电、气要求通知</w:t>
      </w:r>
      <w:r>
        <w:rPr>
          <w:rFonts w:hint="eastAsia" w:cs="Times New Roman"/>
          <w:kern w:val="2"/>
          <w:szCs w:val="21"/>
        </w:rPr>
        <w:t>采购人</w:t>
      </w:r>
      <w:r>
        <w:rPr>
          <w:rFonts w:hint="eastAsia" w:cs="Times New Roman"/>
          <w:kern w:val="2"/>
          <w:szCs w:val="21"/>
          <w:lang w:eastAsia="zh-TW"/>
        </w:rPr>
        <w:t>；</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（2）中标</w:t>
      </w:r>
      <w:r>
        <w:rPr>
          <w:rFonts w:hint="eastAsia" w:cs="Times New Roman"/>
          <w:kern w:val="2"/>
          <w:szCs w:val="21"/>
        </w:rPr>
        <w:t>人</w:t>
      </w:r>
      <w:r>
        <w:rPr>
          <w:rFonts w:hint="eastAsia" w:cs="Times New Roman"/>
          <w:kern w:val="2"/>
          <w:szCs w:val="21"/>
          <w:lang w:eastAsia="zh-TW"/>
        </w:rPr>
        <w:t>负责将设备运至</w:t>
      </w:r>
      <w:r>
        <w:rPr>
          <w:rFonts w:hint="eastAsia" w:cs="Times New Roman"/>
          <w:kern w:val="2"/>
          <w:szCs w:val="21"/>
        </w:rPr>
        <w:t>采购人</w:t>
      </w:r>
      <w:r>
        <w:rPr>
          <w:rFonts w:hint="eastAsia" w:cs="Times New Roman"/>
          <w:kern w:val="2"/>
          <w:szCs w:val="21"/>
          <w:lang w:eastAsia="zh-TW"/>
        </w:rPr>
        <w:t>指定的地点，负责安装，现场培训及技术应用培训（不额外收费）。中标价应包含产品的制造、材料费（主材及辅材）、运输、安装、验收、保修、税收、所有手续费等直至验收合格交付</w:t>
      </w:r>
      <w:r>
        <w:rPr>
          <w:rFonts w:hint="eastAsia" w:cs="Times New Roman"/>
          <w:kern w:val="2"/>
          <w:szCs w:val="21"/>
        </w:rPr>
        <w:t>采购人</w:t>
      </w:r>
      <w:r>
        <w:rPr>
          <w:rFonts w:hint="eastAsia" w:cs="Times New Roman"/>
          <w:kern w:val="2"/>
          <w:szCs w:val="21"/>
          <w:lang w:eastAsia="zh-TW"/>
        </w:rPr>
        <w:t>使用的所有相关费用。中标价格在中标后的合同实施期间应保持不变，即不因市场价格或政策性价格的调整而增减（若因中标人责任而导致的需方依据合同条款对中标人的扣款处罚除外）。</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（3）货到后，中标</w:t>
      </w:r>
      <w:r>
        <w:rPr>
          <w:rFonts w:hint="eastAsia" w:cs="Times New Roman"/>
          <w:kern w:val="2"/>
          <w:szCs w:val="21"/>
        </w:rPr>
        <w:t>人</w:t>
      </w:r>
      <w:r>
        <w:rPr>
          <w:rFonts w:hint="eastAsia" w:cs="Times New Roman"/>
          <w:kern w:val="2"/>
          <w:szCs w:val="21"/>
          <w:lang w:eastAsia="zh-TW"/>
        </w:rPr>
        <w:t>负责派技术人员到现场进行安装、调试，直至验收合格，</w:t>
      </w:r>
      <w:r>
        <w:rPr>
          <w:rFonts w:hint="eastAsia" w:cs="Times New Roman"/>
          <w:kern w:val="2"/>
          <w:szCs w:val="21"/>
        </w:rPr>
        <w:t>技术参数中</w:t>
      </w:r>
      <w:r>
        <w:rPr>
          <w:rFonts w:hint="eastAsia" w:cs="Times New Roman"/>
          <w:kern w:val="2"/>
          <w:szCs w:val="21"/>
          <w:lang w:eastAsia="zh-TW"/>
        </w:rPr>
        <w:t>带“★”的</w:t>
      </w:r>
      <w:r>
        <w:rPr>
          <w:rFonts w:hint="eastAsia" w:cs="Times New Roman"/>
          <w:kern w:val="2"/>
          <w:szCs w:val="21"/>
        </w:rPr>
        <w:t>内容</w:t>
      </w:r>
      <w:r>
        <w:rPr>
          <w:rFonts w:hint="eastAsia" w:cs="Times New Roman"/>
          <w:kern w:val="2"/>
          <w:szCs w:val="21"/>
          <w:lang w:eastAsia="zh-TW"/>
        </w:rPr>
        <w:t>必须符合其性能。</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（4）验收：a. 如需要，中标供</w:t>
      </w:r>
      <w:r>
        <w:rPr>
          <w:rFonts w:hint="eastAsia" w:cs="Times New Roman"/>
          <w:kern w:val="2"/>
          <w:szCs w:val="21"/>
        </w:rPr>
        <w:t>人</w:t>
      </w:r>
      <w:r>
        <w:rPr>
          <w:rFonts w:hint="eastAsia" w:cs="Times New Roman"/>
          <w:kern w:val="2"/>
          <w:szCs w:val="21"/>
          <w:lang w:eastAsia="zh-TW"/>
        </w:rPr>
        <w:t>须提供产品的原厂技术文件以及验收要求的校准文件或计量证书。属于中华人民共和国强制检定计量器具，中标</w:t>
      </w:r>
      <w:r>
        <w:rPr>
          <w:rFonts w:hint="eastAsia" w:cs="Times New Roman"/>
          <w:kern w:val="2"/>
          <w:szCs w:val="21"/>
        </w:rPr>
        <w:t>人</w:t>
      </w:r>
      <w:r>
        <w:rPr>
          <w:rFonts w:hint="eastAsia" w:cs="Times New Roman"/>
          <w:kern w:val="2"/>
          <w:szCs w:val="21"/>
          <w:lang w:eastAsia="zh-TW"/>
        </w:rPr>
        <w:t>须负责提供法定计量证书。所需费用由中标</w:t>
      </w:r>
      <w:r>
        <w:rPr>
          <w:rFonts w:hint="eastAsia" w:cs="Times New Roman"/>
          <w:kern w:val="2"/>
          <w:szCs w:val="21"/>
        </w:rPr>
        <w:t>人</w:t>
      </w:r>
      <w:r>
        <w:rPr>
          <w:rFonts w:hint="eastAsia" w:cs="Times New Roman"/>
          <w:kern w:val="2"/>
          <w:szCs w:val="21"/>
          <w:lang w:eastAsia="zh-TW"/>
        </w:rPr>
        <w:t>承担。b. 中标供</w:t>
      </w:r>
      <w:r>
        <w:rPr>
          <w:rFonts w:hint="eastAsia" w:cs="Times New Roman"/>
          <w:kern w:val="2"/>
          <w:szCs w:val="21"/>
        </w:rPr>
        <w:t>人</w:t>
      </w:r>
      <w:r>
        <w:rPr>
          <w:rFonts w:hint="eastAsia" w:cs="Times New Roman"/>
          <w:kern w:val="2"/>
          <w:szCs w:val="21"/>
          <w:lang w:eastAsia="zh-TW"/>
        </w:rPr>
        <w:t>设备供货、安装施工、调试、工程验收、货物运输、售后服务等均应符合国家相关法律、法规以及国家标准、相关行业标准。中标</w:t>
      </w:r>
      <w:r>
        <w:rPr>
          <w:rFonts w:hint="eastAsia" w:cs="Times New Roman"/>
          <w:kern w:val="2"/>
          <w:szCs w:val="21"/>
        </w:rPr>
        <w:t>人</w:t>
      </w:r>
      <w:r>
        <w:rPr>
          <w:rFonts w:hint="eastAsia" w:cs="Times New Roman"/>
          <w:kern w:val="2"/>
          <w:szCs w:val="21"/>
          <w:lang w:eastAsia="zh-TW"/>
        </w:rPr>
        <w:t>提供设备的制造标准、安装标准及技术规范等有关资料必须符合国家相应的有关标准、规范要求。c. 中标</w:t>
      </w:r>
      <w:r>
        <w:rPr>
          <w:rFonts w:hint="eastAsia" w:cs="Times New Roman"/>
          <w:kern w:val="2"/>
          <w:szCs w:val="21"/>
        </w:rPr>
        <w:t>人</w:t>
      </w:r>
      <w:r>
        <w:rPr>
          <w:rFonts w:hint="eastAsia" w:cs="Times New Roman"/>
          <w:kern w:val="2"/>
          <w:szCs w:val="21"/>
          <w:lang w:eastAsia="zh-TW"/>
        </w:rPr>
        <w:t>应向需求单位提供完整的设备技术资料、货物制造商的出厂检验报告、合格证书、产品保证书、认证书、及政府许可证明、说明书等，保证产品和安装材料是新生产、未经过使用的原装原厂正品。如在交付使用前发生设备损坏和不合格，</w:t>
      </w:r>
      <w:r>
        <w:rPr>
          <w:rFonts w:hint="eastAsia" w:cs="Times New Roman"/>
          <w:kern w:val="2"/>
          <w:szCs w:val="21"/>
        </w:rPr>
        <w:t>采购人</w:t>
      </w:r>
      <w:r>
        <w:rPr>
          <w:rFonts w:hint="eastAsia" w:cs="Times New Roman"/>
          <w:kern w:val="2"/>
          <w:szCs w:val="21"/>
          <w:lang w:eastAsia="zh-TW"/>
        </w:rPr>
        <w:t>有权要求退货，因此造成的一切损失由</w:t>
      </w:r>
      <w:r>
        <w:rPr>
          <w:rFonts w:hint="eastAsia" w:cs="Times New Roman"/>
          <w:kern w:val="2"/>
          <w:szCs w:val="21"/>
        </w:rPr>
        <w:t>中标人</w:t>
      </w:r>
      <w:r>
        <w:rPr>
          <w:rFonts w:hint="eastAsia" w:cs="Times New Roman"/>
          <w:kern w:val="2"/>
          <w:szCs w:val="21"/>
          <w:lang w:eastAsia="zh-TW"/>
        </w:rPr>
        <w:t>承担。d.中标供</w:t>
      </w:r>
      <w:r>
        <w:rPr>
          <w:rFonts w:hint="eastAsia" w:cs="Times New Roman"/>
          <w:kern w:val="2"/>
          <w:szCs w:val="21"/>
        </w:rPr>
        <w:t>人</w:t>
      </w:r>
      <w:r>
        <w:rPr>
          <w:rFonts w:hint="eastAsia" w:cs="Times New Roman"/>
          <w:kern w:val="2"/>
          <w:szCs w:val="21"/>
          <w:lang w:eastAsia="zh-TW"/>
        </w:rPr>
        <w:t>根据合同要求进行系统安装、调试后，由</w:t>
      </w:r>
      <w:r>
        <w:rPr>
          <w:rFonts w:hint="eastAsia" w:cs="Times New Roman"/>
          <w:kern w:val="2"/>
          <w:szCs w:val="21"/>
        </w:rPr>
        <w:t>采购人</w:t>
      </w:r>
      <w:r>
        <w:rPr>
          <w:rFonts w:hint="eastAsia" w:cs="Times New Roman"/>
          <w:kern w:val="2"/>
          <w:szCs w:val="21"/>
          <w:lang w:eastAsia="zh-TW"/>
        </w:rPr>
        <w:t>进行使用性能方面的验收，确保在使用过程内具有满意的性能。如质量不符合要求，</w:t>
      </w:r>
      <w:r>
        <w:rPr>
          <w:rFonts w:hint="eastAsia" w:cs="Times New Roman"/>
          <w:kern w:val="2"/>
          <w:szCs w:val="21"/>
        </w:rPr>
        <w:t>中标人</w:t>
      </w:r>
      <w:r>
        <w:rPr>
          <w:rFonts w:hint="eastAsia" w:cs="Times New Roman"/>
          <w:kern w:val="2"/>
          <w:szCs w:val="21"/>
          <w:lang w:eastAsia="zh-TW"/>
        </w:rPr>
        <w:t>应无条件及时更换并不得以任何原因拖延。e.</w:t>
      </w:r>
      <w:r>
        <w:rPr>
          <w:rFonts w:hint="eastAsia" w:cs="Times New Roman"/>
          <w:kern w:val="2"/>
          <w:szCs w:val="21"/>
        </w:rPr>
        <w:t>采购人</w:t>
      </w:r>
      <w:r>
        <w:rPr>
          <w:rFonts w:hint="eastAsia" w:cs="Times New Roman"/>
          <w:kern w:val="2"/>
          <w:szCs w:val="21"/>
          <w:lang w:eastAsia="zh-TW"/>
        </w:rPr>
        <w:t>根据招标文件、中标</w:t>
      </w:r>
      <w:r>
        <w:rPr>
          <w:rFonts w:hint="eastAsia" w:cs="Times New Roman"/>
          <w:kern w:val="2"/>
          <w:szCs w:val="21"/>
        </w:rPr>
        <w:t>人</w:t>
      </w:r>
      <w:r>
        <w:rPr>
          <w:rFonts w:hint="eastAsia" w:cs="Times New Roman"/>
          <w:kern w:val="2"/>
          <w:szCs w:val="21"/>
          <w:lang w:eastAsia="zh-TW"/>
        </w:rPr>
        <w:t>的</w:t>
      </w:r>
      <w:r>
        <w:rPr>
          <w:rFonts w:hint="eastAsia" w:cs="Times New Roman"/>
          <w:kern w:val="2"/>
          <w:szCs w:val="21"/>
        </w:rPr>
        <w:t>投</w:t>
      </w:r>
      <w:r>
        <w:rPr>
          <w:rFonts w:hint="eastAsia" w:cs="Times New Roman"/>
          <w:kern w:val="2"/>
          <w:szCs w:val="21"/>
          <w:lang w:eastAsia="zh-TW"/>
        </w:rPr>
        <w:t>标文件、合同、制造厂商的产品验收标准及中华人民共和国有关标准进行验收。</w:t>
      </w:r>
      <w:r>
        <w:rPr>
          <w:rFonts w:hint="eastAsia" w:cs="Times New Roman"/>
          <w:kern w:val="2"/>
          <w:szCs w:val="21"/>
        </w:rPr>
        <w:t>采购人</w:t>
      </w:r>
      <w:r>
        <w:rPr>
          <w:rFonts w:hint="eastAsia" w:cs="Times New Roman"/>
          <w:kern w:val="2"/>
          <w:szCs w:val="21"/>
          <w:lang w:eastAsia="zh-TW"/>
        </w:rPr>
        <w:t>权委托中国具权威资质机构对设备的灵敏度、测量精度等技术性能进行验收。因中标供应商所提供的产品未达到招标文件中技术性能指标的，一律拒收，不予付款，</w:t>
      </w:r>
      <w:r>
        <w:rPr>
          <w:rFonts w:hint="eastAsia" w:cs="Times New Roman"/>
          <w:kern w:val="2"/>
          <w:szCs w:val="21"/>
        </w:rPr>
        <w:t>采购人</w:t>
      </w:r>
      <w:r>
        <w:rPr>
          <w:rFonts w:hint="eastAsia" w:cs="Times New Roman"/>
          <w:kern w:val="2"/>
          <w:szCs w:val="21"/>
          <w:lang w:eastAsia="zh-TW"/>
        </w:rPr>
        <w:t>有权因此终止合同的执行，中标</w:t>
      </w:r>
      <w:r>
        <w:rPr>
          <w:rFonts w:hint="eastAsia" w:cs="Times New Roman"/>
          <w:kern w:val="2"/>
          <w:szCs w:val="21"/>
        </w:rPr>
        <w:t>人</w:t>
      </w:r>
      <w:r>
        <w:rPr>
          <w:rFonts w:hint="eastAsia" w:cs="Times New Roman"/>
          <w:kern w:val="2"/>
          <w:szCs w:val="21"/>
          <w:lang w:eastAsia="zh-TW"/>
        </w:rPr>
        <w:t>将自行承担所有经济损失；同时，</w:t>
      </w:r>
      <w:r>
        <w:rPr>
          <w:rFonts w:hint="eastAsia" w:cs="Times New Roman"/>
          <w:kern w:val="2"/>
          <w:szCs w:val="21"/>
        </w:rPr>
        <w:t>采购人</w:t>
      </w:r>
      <w:r>
        <w:rPr>
          <w:rFonts w:hint="eastAsia" w:cs="Times New Roman"/>
          <w:kern w:val="2"/>
          <w:szCs w:val="21"/>
          <w:lang w:eastAsia="zh-TW"/>
        </w:rPr>
        <w:t>将保留向中标</w:t>
      </w:r>
      <w:r>
        <w:rPr>
          <w:rFonts w:hint="eastAsia" w:cs="Times New Roman"/>
          <w:kern w:val="2"/>
          <w:szCs w:val="21"/>
        </w:rPr>
        <w:t>人</w:t>
      </w:r>
      <w:r>
        <w:rPr>
          <w:rFonts w:hint="eastAsia" w:cs="Times New Roman"/>
          <w:kern w:val="2"/>
          <w:szCs w:val="21"/>
          <w:lang w:eastAsia="zh-TW"/>
        </w:rPr>
        <w:t>因设备延迟到位而造成对口岸检验业务的不良影响追索相应“违约”责任的权利。</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lang w:eastAsia="zh-TW"/>
        </w:rPr>
        <w:t>（5) 中标</w:t>
      </w:r>
      <w:r>
        <w:rPr>
          <w:rFonts w:hint="eastAsia" w:cs="Times New Roman"/>
          <w:b/>
          <w:bCs/>
          <w:kern w:val="2"/>
          <w:szCs w:val="21"/>
        </w:rPr>
        <w:t>人</w:t>
      </w:r>
      <w:r>
        <w:rPr>
          <w:rFonts w:hint="eastAsia" w:cs="Times New Roman"/>
          <w:b/>
          <w:bCs/>
          <w:kern w:val="2"/>
          <w:szCs w:val="21"/>
          <w:lang w:eastAsia="zh-TW"/>
        </w:rPr>
        <w:t>能响应故障处理请求和电话咨询，提供7x24小时技术支持，2小时内响应和24小时内提出解决方案，一般应在48小时内派人到现场维修的售后服务。中标</w:t>
      </w:r>
      <w:r>
        <w:rPr>
          <w:rFonts w:hint="eastAsia" w:cs="Times New Roman"/>
          <w:b/>
          <w:bCs/>
          <w:kern w:val="2"/>
          <w:szCs w:val="21"/>
        </w:rPr>
        <w:t>人</w:t>
      </w:r>
      <w:r>
        <w:rPr>
          <w:rFonts w:hint="eastAsia" w:cs="Times New Roman"/>
          <w:b/>
          <w:bCs/>
          <w:kern w:val="2"/>
          <w:szCs w:val="21"/>
          <w:lang w:eastAsia="zh-TW"/>
        </w:rPr>
        <w:t>应提供维保人员名单、联系电话等。</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（6) 现场培训：仪器在安装调试同时，中标</w:t>
      </w:r>
      <w:r>
        <w:rPr>
          <w:rFonts w:hint="eastAsia" w:cs="Times New Roman"/>
          <w:kern w:val="2"/>
          <w:szCs w:val="21"/>
        </w:rPr>
        <w:t>人</w:t>
      </w:r>
      <w:r>
        <w:rPr>
          <w:rFonts w:hint="eastAsia" w:cs="Times New Roman"/>
          <w:kern w:val="2"/>
          <w:szCs w:val="21"/>
          <w:lang w:eastAsia="zh-TW"/>
        </w:rPr>
        <w:t>负责派工程师对用户就仪器原理和基本操作进行现场培训，培训人员人数不限，培训时间视需求单位需要，原则上不少于2天，确保</w:t>
      </w:r>
      <w:r>
        <w:rPr>
          <w:rFonts w:hint="eastAsia" w:cs="Times New Roman"/>
          <w:kern w:val="2"/>
          <w:szCs w:val="21"/>
        </w:rPr>
        <w:t>采购人（</w:t>
      </w:r>
      <w:r>
        <w:rPr>
          <w:rFonts w:hint="eastAsia" w:cs="Times New Roman"/>
          <w:kern w:val="2"/>
          <w:szCs w:val="21"/>
          <w:lang w:eastAsia="zh-TW"/>
        </w:rPr>
        <w:t>用户</w:t>
      </w:r>
      <w:r>
        <w:rPr>
          <w:rFonts w:hint="eastAsia" w:cs="Times New Roman"/>
          <w:kern w:val="2"/>
          <w:szCs w:val="21"/>
        </w:rPr>
        <w:t>）</w:t>
      </w:r>
      <w:r>
        <w:rPr>
          <w:rFonts w:hint="eastAsia" w:cs="Times New Roman"/>
          <w:kern w:val="2"/>
          <w:szCs w:val="21"/>
          <w:lang w:eastAsia="zh-TW"/>
        </w:rPr>
        <w:t>能正常操作（不额外收费）。</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（7)集中培训：中标人提供</w:t>
      </w:r>
      <w:r>
        <w:rPr>
          <w:rFonts w:hint="eastAsia" w:cs="Times New Roman"/>
          <w:kern w:val="2"/>
          <w:szCs w:val="21"/>
        </w:rPr>
        <w:t>采购人</w:t>
      </w:r>
      <w:r>
        <w:rPr>
          <w:rFonts w:hint="eastAsia" w:cs="Times New Roman"/>
          <w:kern w:val="2"/>
          <w:szCs w:val="21"/>
          <w:lang w:eastAsia="zh-TW"/>
        </w:rPr>
        <w:t>至少2名技术人员到厂家指定地点进行相同设备专项技能培训，培训时间原则上不少于3天（不额外收费）。</w:t>
      </w: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p>
    <w:p>
      <w:pPr>
        <w:widowControl w:val="0"/>
        <w:shd w:val="clear" w:color="auto" w:fill="auto"/>
        <w:tabs>
          <w:tab w:val="clear" w:pos="426"/>
        </w:tabs>
        <w:adjustRightInd/>
        <w:snapToGrid/>
        <w:spacing w:line="240" w:lineRule="auto"/>
        <w:ind w:firstLine="422" w:firstLineChars="200"/>
        <w:jc w:val="center"/>
        <w:outlineLvl w:val="3"/>
        <w:rPr>
          <w:rFonts w:cs="Times New Roman"/>
          <w:b/>
          <w:bCs/>
          <w:kern w:val="2"/>
          <w:szCs w:val="21"/>
        </w:rPr>
      </w:pPr>
      <w:r>
        <w:rPr>
          <w:rFonts w:hint="eastAsia" w:cs="Times New Roman"/>
          <w:b/>
          <w:bCs/>
          <w:kern w:val="2"/>
          <w:szCs w:val="21"/>
        </w:rPr>
        <w:t>01包 采购标的3商务要求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w:t>
      </w:r>
      <w:r>
        <w:rPr>
          <w:rFonts w:hint="eastAsia" w:cs="Times New Roman"/>
          <w:b/>
          <w:bCs/>
          <w:kern w:val="2"/>
          <w:szCs w:val="21"/>
        </w:rPr>
        <w:t>2.</w:t>
      </w:r>
      <w:r>
        <w:rPr>
          <w:rFonts w:cs="Times New Roman"/>
          <w:b/>
          <w:bCs/>
          <w:kern w:val="2"/>
          <w:szCs w:val="21"/>
        </w:rPr>
        <w:t>供货期限：</w:t>
      </w:r>
      <w:r>
        <w:rPr>
          <w:rFonts w:hint="eastAsia" w:cs="Times New Roman"/>
          <w:b/>
          <w:bCs/>
          <w:kern w:val="2"/>
          <w:szCs w:val="21"/>
        </w:rPr>
        <w:t>中标人应在合同签订之日起45个日历日内交付货物并完成安装调试</w:t>
      </w:r>
      <w:r>
        <w:rPr>
          <w:rFonts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w:t>
      </w:r>
      <w:r>
        <w:rPr>
          <w:rFonts w:hint="eastAsia" w:cs="Times New Roman"/>
          <w:b/>
          <w:bCs/>
          <w:kern w:val="2"/>
          <w:szCs w:val="21"/>
        </w:rPr>
        <w:t>3.</w:t>
      </w:r>
      <w:r>
        <w:rPr>
          <w:rFonts w:hint="eastAsia" w:cs="Times New Roman"/>
          <w:b/>
          <w:bCs/>
          <w:kern w:val="2"/>
          <w:szCs w:val="21"/>
          <w:lang w:eastAsia="zh-TW"/>
        </w:rPr>
        <w:t>产品安装调试经</w:t>
      </w:r>
      <w:r>
        <w:rPr>
          <w:rFonts w:hint="eastAsia" w:cs="Times New Roman"/>
          <w:b/>
          <w:bCs/>
          <w:kern w:val="2"/>
          <w:szCs w:val="21"/>
        </w:rPr>
        <w:t>采购人（</w:t>
      </w:r>
      <w:r>
        <w:rPr>
          <w:rFonts w:hint="eastAsia" w:cs="Times New Roman"/>
          <w:b/>
          <w:bCs/>
          <w:kern w:val="2"/>
          <w:szCs w:val="21"/>
          <w:lang w:eastAsia="zh-TW"/>
        </w:rPr>
        <w:t>用户</w:t>
      </w:r>
      <w:r>
        <w:rPr>
          <w:rFonts w:hint="eastAsia" w:cs="Times New Roman"/>
          <w:b/>
          <w:bCs/>
          <w:kern w:val="2"/>
          <w:szCs w:val="21"/>
        </w:rPr>
        <w:t>）</w:t>
      </w:r>
      <w:r>
        <w:rPr>
          <w:rFonts w:hint="eastAsia" w:cs="Times New Roman"/>
          <w:b/>
          <w:bCs/>
          <w:kern w:val="2"/>
          <w:szCs w:val="21"/>
          <w:lang w:eastAsia="zh-TW"/>
        </w:rPr>
        <w:t>验收合格当天起，</w:t>
      </w:r>
      <w:r>
        <w:rPr>
          <w:rFonts w:hint="eastAsia" w:cs="Times New Roman"/>
          <w:b/>
          <w:bCs/>
          <w:kern w:val="2"/>
          <w:szCs w:val="21"/>
        </w:rPr>
        <w:t>全机</w:t>
      </w:r>
      <w:r>
        <w:rPr>
          <w:rFonts w:hint="eastAsia" w:cs="Times New Roman"/>
          <w:b/>
          <w:bCs/>
          <w:kern w:val="2"/>
          <w:szCs w:val="21"/>
          <w:lang w:eastAsia="zh-TW"/>
        </w:rPr>
        <w:t>质保期</w:t>
      </w:r>
      <w:r>
        <w:rPr>
          <w:rFonts w:hint="eastAsia" w:cs="Times New Roman"/>
          <w:b/>
          <w:bCs/>
          <w:kern w:val="2"/>
          <w:szCs w:val="21"/>
        </w:rPr>
        <w:t>2</w:t>
      </w:r>
      <w:r>
        <w:rPr>
          <w:rFonts w:hint="eastAsia" w:cs="Times New Roman"/>
          <w:b/>
          <w:bCs/>
          <w:kern w:val="2"/>
          <w:szCs w:val="21"/>
          <w:lang w:eastAsia="zh-TW"/>
        </w:rPr>
        <w:t>年。</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4.</w:t>
      </w:r>
      <w:r>
        <w:rPr>
          <w:rFonts w:cs="Times New Roman"/>
          <w:b/>
          <w:bCs/>
          <w:kern w:val="2"/>
          <w:szCs w:val="21"/>
        </w:rPr>
        <w:t>售后服务要求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w:t>
      </w:r>
      <w:r>
        <w:rPr>
          <w:rFonts w:cs="Times New Roman"/>
          <w:b/>
          <w:bCs/>
          <w:kern w:val="2"/>
          <w:szCs w:val="21"/>
        </w:rPr>
        <w:t>1）质保期间，</w:t>
      </w:r>
      <w:r>
        <w:rPr>
          <w:rFonts w:hint="eastAsia" w:cs="Times New Roman"/>
          <w:b/>
          <w:bCs/>
          <w:kern w:val="2"/>
          <w:szCs w:val="21"/>
        </w:rPr>
        <w:t>中标人</w:t>
      </w:r>
      <w:r>
        <w:rPr>
          <w:rFonts w:cs="Times New Roman"/>
          <w:b/>
          <w:bCs/>
          <w:kern w:val="2"/>
          <w:szCs w:val="21"/>
        </w:rPr>
        <w:t>应指定专门维修工程师，负责向采购人提供7*24小时的技术支持与售后服务，接到采购人报修后，2小时内电话反馈，保证在接到采购</w:t>
      </w:r>
      <w:r>
        <w:rPr>
          <w:rFonts w:hint="eastAsia" w:cs="Times New Roman"/>
          <w:b/>
          <w:bCs/>
          <w:kern w:val="2"/>
          <w:szCs w:val="21"/>
        </w:rPr>
        <w:t>人</w:t>
      </w:r>
      <w:r>
        <w:rPr>
          <w:rFonts w:cs="Times New Roman"/>
          <w:b/>
          <w:bCs/>
          <w:kern w:val="2"/>
          <w:szCs w:val="21"/>
        </w:rPr>
        <w:t>（用户）通知后24小时内到达现场并解决故障。质保期内</w:t>
      </w:r>
      <w:r>
        <w:rPr>
          <w:rFonts w:hint="eastAsia" w:cs="Times New Roman"/>
          <w:b/>
          <w:bCs/>
          <w:kern w:val="2"/>
          <w:szCs w:val="21"/>
        </w:rPr>
        <w:t>中标人</w:t>
      </w:r>
      <w:r>
        <w:rPr>
          <w:rFonts w:cs="Times New Roman"/>
          <w:b/>
          <w:bCs/>
          <w:kern w:val="2"/>
          <w:szCs w:val="21"/>
        </w:rPr>
        <w:t>有责任对货物进行不定期的巡查检修。</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2）货物的质保期为自双方签署货物到货验收签收单并通过验收，签署验收合格报告之日起计算。质保期内所有产品维修、更换均（采购人故意造成的损坏除外）</w:t>
      </w:r>
      <w:r>
        <w:rPr>
          <w:rFonts w:hint="eastAsia" w:cs="Times New Roman"/>
          <w:kern w:val="2"/>
          <w:szCs w:val="21"/>
        </w:rPr>
        <w:t>（不额外收费）</w:t>
      </w:r>
      <w:r>
        <w:rPr>
          <w:rFonts w:cs="Times New Roman"/>
          <w:kern w:val="2"/>
          <w:szCs w:val="21"/>
        </w:rPr>
        <w:t>。质保期外只收取零配件成本费用，不收取维修、更换的人工费用。质保期外重复出现质保期内出现的故障属保修范围</w:t>
      </w:r>
      <w:r>
        <w:rPr>
          <w:rFonts w:hint="eastAsia" w:cs="Times New Roman"/>
          <w:kern w:val="2"/>
          <w:szCs w:val="21"/>
        </w:rPr>
        <w:t>（不额外收费）</w:t>
      </w:r>
      <w:r>
        <w:rPr>
          <w:rFonts w:cs="Times New Roman"/>
          <w:kern w:val="2"/>
          <w:szCs w:val="21"/>
        </w:rPr>
        <w:t>。</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3）本合同所包含的售后服务，包含制造商售后服务和代理商售后服务，均由</w:t>
      </w:r>
      <w:r>
        <w:rPr>
          <w:rFonts w:hint="eastAsia" w:cs="Times New Roman"/>
          <w:kern w:val="2"/>
          <w:szCs w:val="21"/>
        </w:rPr>
        <w:t>中标人</w:t>
      </w:r>
      <w:r>
        <w:rPr>
          <w:rFonts w:cs="Times New Roman"/>
          <w:kern w:val="2"/>
          <w:szCs w:val="21"/>
        </w:rPr>
        <w:t>负责联系、跟踪。</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4）在质保期内所有货物的检定或校准费用均由</w:t>
      </w:r>
      <w:r>
        <w:rPr>
          <w:rFonts w:hint="eastAsia" w:cs="Times New Roman"/>
          <w:kern w:val="2"/>
          <w:szCs w:val="21"/>
        </w:rPr>
        <w:t>中标人</w:t>
      </w:r>
      <w:r>
        <w:rPr>
          <w:rFonts w:cs="Times New Roman"/>
          <w:kern w:val="2"/>
          <w:szCs w:val="21"/>
        </w:rPr>
        <w:t>承担。</w:t>
      </w: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p>
    <w:p>
      <w:pPr>
        <w:widowControl w:val="0"/>
        <w:shd w:val="clear" w:color="auto" w:fill="auto"/>
        <w:tabs>
          <w:tab w:val="clear" w:pos="426"/>
        </w:tabs>
        <w:adjustRightInd/>
        <w:snapToGrid/>
        <w:spacing w:line="240" w:lineRule="auto"/>
        <w:ind w:firstLine="422" w:firstLineChars="200"/>
        <w:jc w:val="center"/>
        <w:outlineLvl w:val="3"/>
        <w:rPr>
          <w:rFonts w:cs="Times New Roman"/>
          <w:b/>
          <w:bCs/>
          <w:kern w:val="2"/>
          <w:szCs w:val="21"/>
        </w:rPr>
      </w:pPr>
      <w:r>
        <w:rPr>
          <w:rFonts w:hint="eastAsia" w:cs="Times New Roman"/>
          <w:b/>
          <w:bCs/>
          <w:kern w:val="2"/>
          <w:szCs w:val="21"/>
        </w:rPr>
        <w:t>02包 采购标的4商务要求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★2.供货期限：中标人应在合同签订之日起45个日历日内交付货物并完成安装调试。</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★3.产品安装调试经采购人（用户）验收合格当天起，全机质保期3年，在质保期内，产品因故障停用，质保期相应顺延。质保期外2年内，能更及时地为采购人（用户）提供仪器关键零备件、消耗品等。</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4.售后服务要求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 1）质保期间，中标人应指定专门维修工程师，负责向采购人提供7*24小时的技术支持与售后服务，接到采购人报修后，30分钟内电话反馈，保证在接到采购人（用户）通知后6小时内到达现场并解决故障。质保期内中标人有责任对货物进行不定期的巡查检修。</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货物的质保期为自双方签署货物到货验收签收单并通过验收，签署验收合格报告之日起计算。质保期内所有产品维修、更换均（采购人故意造成的损坏除外）（不额外收费）。质保期外只收取零配件成本费用，不收取维修、更换的人工费用。质保期外重复出现质保期内出现的故障属保修范围（不额外收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3）本合同所包含的售后服务，包含制造商售后服务和代理商售后服务，均由中标人负责联系、跟踪。</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4）在质保期内所有货物的检定或校准费用均由成中标人承担。</w:t>
      </w:r>
    </w:p>
    <w:p>
      <w:pPr>
        <w:widowControl w:val="0"/>
        <w:shd w:val="clear" w:color="auto" w:fill="auto"/>
        <w:tabs>
          <w:tab w:val="clear" w:pos="426"/>
        </w:tabs>
        <w:adjustRightInd/>
        <w:snapToGrid/>
        <w:spacing w:line="240" w:lineRule="auto"/>
        <w:rPr>
          <w:rFonts w:cs="Times New Roman"/>
          <w:b/>
          <w:bCs/>
          <w:kern w:val="2"/>
          <w:szCs w:val="21"/>
        </w:rPr>
      </w:pPr>
    </w:p>
    <w:p>
      <w:pPr>
        <w:widowControl w:val="0"/>
        <w:shd w:val="clear" w:color="auto" w:fill="auto"/>
        <w:tabs>
          <w:tab w:val="clear" w:pos="426"/>
        </w:tabs>
        <w:adjustRightInd/>
        <w:snapToGrid/>
        <w:spacing w:line="240" w:lineRule="auto"/>
        <w:ind w:left="420" w:leftChars="200"/>
        <w:rPr>
          <w:rFonts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2" w:name="_Toc2525"/>
      <w:r>
        <w:rPr>
          <w:rFonts w:hint="eastAsia"/>
        </w:rPr>
        <w:t>第三章 定价方式、合同类型和风险管理措施</w:t>
      </w:r>
      <w:bookmarkEnd w:id="52"/>
    </w:p>
    <w:p>
      <w:pPr>
        <w:numPr>
          <w:ilvl w:val="0"/>
          <w:numId w:val="3"/>
        </w:numPr>
        <w:adjustRightInd/>
        <w:snapToGrid/>
        <w:spacing w:before="280" w:after="290" w:line="377" w:lineRule="auto"/>
        <w:jc w:val="left"/>
        <w:outlineLvl w:val="2"/>
        <w:rPr>
          <w:b/>
          <w:sz w:val="24"/>
        </w:rPr>
      </w:pPr>
      <w:bookmarkStart w:id="53" w:name="_Toc27621"/>
      <w:bookmarkStart w:id="54" w:name="_Toc157893754"/>
      <w:bookmarkStart w:id="55" w:name="_Toc21605"/>
      <w:r>
        <w:rPr>
          <w:rFonts w:hint="eastAsia"/>
          <w:b/>
          <w:sz w:val="24"/>
        </w:rPr>
        <w:t>定价方式</w:t>
      </w:r>
      <w:bookmarkEnd w:id="53"/>
      <w:bookmarkEnd w:id="54"/>
      <w:bookmarkEnd w:id="55"/>
    </w:p>
    <w:p>
      <w:pPr>
        <w:widowControl w:val="0"/>
        <w:shd w:val="clear" w:color="auto" w:fill="auto"/>
        <w:tabs>
          <w:tab w:val="clear" w:pos="426"/>
        </w:tabs>
        <w:adjustRightInd/>
        <w:snapToGrid/>
        <w:spacing w:line="240" w:lineRule="auto"/>
        <w:ind w:firstLine="420" w:firstLineChars="200"/>
        <w:rPr>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b/>
          <w:sz w:val="24"/>
        </w:rPr>
      </w:pPr>
      <w:bookmarkStart w:id="56" w:name="_Toc7208"/>
      <w:bookmarkStart w:id="57" w:name="_Toc18675"/>
      <w:bookmarkStart w:id="58" w:name="_Toc157893755"/>
      <w:r>
        <w:rPr>
          <w:rFonts w:hint="eastAsia"/>
          <w:b/>
          <w:sz w:val="24"/>
        </w:rPr>
        <w:t>合同类型</w:t>
      </w:r>
      <w:bookmarkEnd w:id="56"/>
      <w:bookmarkEnd w:id="57"/>
      <w:bookmarkEnd w:id="58"/>
    </w:p>
    <w:p>
      <w:pPr>
        <w:widowControl w:val="0"/>
        <w:shd w:val="clear" w:color="auto" w:fill="auto"/>
        <w:tabs>
          <w:tab w:val="clear" w:pos="426"/>
        </w:tabs>
        <w:adjustRightInd/>
        <w:snapToGrid/>
        <w:spacing w:line="240" w:lineRule="auto"/>
        <w:ind w:firstLine="420" w:firstLineChars="200"/>
        <w:rPr>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b/>
          <w:sz w:val="24"/>
        </w:rPr>
      </w:pPr>
      <w:bookmarkStart w:id="59" w:name="_Toc157893757"/>
      <w:bookmarkStart w:id="60" w:name="_Toc32122"/>
      <w:bookmarkStart w:id="61" w:name="_Toc24693"/>
      <w:r>
        <w:rPr>
          <w:rFonts w:hint="eastAsia"/>
          <w:b/>
          <w:sz w:val="24"/>
        </w:rPr>
        <w:t>风险管理措施</w:t>
      </w:r>
      <w:bookmarkEnd w:id="59"/>
      <w:bookmarkEnd w:id="60"/>
      <w:bookmarkEnd w:id="61"/>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b/>
                <w:bCs/>
                <w:szCs w:val="21"/>
              </w:rPr>
            </w:pPr>
            <w:r>
              <w:rPr>
                <w:rFonts w:hint="eastAsia"/>
                <w:b/>
                <w:bCs/>
                <w:szCs w:val="21"/>
              </w:rPr>
              <w:t>阶段</w:t>
            </w:r>
          </w:p>
        </w:tc>
        <w:tc>
          <w:tcPr>
            <w:tcW w:w="1185" w:type="dxa"/>
          </w:tcPr>
          <w:p>
            <w:pPr>
              <w:spacing w:line="240" w:lineRule="auto"/>
              <w:rPr>
                <w:b/>
                <w:bCs/>
                <w:szCs w:val="21"/>
              </w:rPr>
            </w:pPr>
            <w:r>
              <w:rPr>
                <w:rFonts w:hint="eastAsia"/>
                <w:b/>
                <w:bCs/>
                <w:szCs w:val="21"/>
              </w:rPr>
              <w:t>风险事项</w:t>
            </w:r>
          </w:p>
        </w:tc>
        <w:tc>
          <w:tcPr>
            <w:tcW w:w="1185" w:type="dxa"/>
          </w:tcPr>
          <w:p>
            <w:pPr>
              <w:spacing w:line="240" w:lineRule="auto"/>
              <w:rPr>
                <w:b/>
                <w:bCs/>
                <w:szCs w:val="21"/>
              </w:rPr>
            </w:pPr>
            <w:r>
              <w:rPr>
                <w:rFonts w:hint="eastAsia"/>
                <w:b/>
                <w:bCs/>
                <w:szCs w:val="21"/>
              </w:rPr>
              <w:t>风险描述</w:t>
            </w:r>
          </w:p>
        </w:tc>
        <w:tc>
          <w:tcPr>
            <w:tcW w:w="1185" w:type="dxa"/>
          </w:tcPr>
          <w:p>
            <w:pPr>
              <w:spacing w:line="240" w:lineRule="auto"/>
              <w:rPr>
                <w:b/>
                <w:bCs/>
                <w:szCs w:val="21"/>
              </w:rPr>
            </w:pPr>
            <w:r>
              <w:rPr>
                <w:rFonts w:hint="eastAsia"/>
                <w:b/>
                <w:bCs/>
                <w:szCs w:val="21"/>
              </w:rPr>
              <w:t>风险等级</w:t>
            </w:r>
          </w:p>
        </w:tc>
        <w:tc>
          <w:tcPr>
            <w:tcW w:w="1185" w:type="dxa"/>
          </w:tcPr>
          <w:p>
            <w:pPr>
              <w:spacing w:line="240" w:lineRule="auto"/>
              <w:rPr>
                <w:b/>
                <w:bCs/>
                <w:szCs w:val="21"/>
              </w:rPr>
            </w:pPr>
            <w:r>
              <w:rPr>
                <w:rFonts w:hint="eastAsia"/>
                <w:b/>
                <w:bCs/>
                <w:szCs w:val="21"/>
              </w:rPr>
              <w:t>防控措施</w:t>
            </w:r>
          </w:p>
        </w:tc>
        <w:tc>
          <w:tcPr>
            <w:tcW w:w="1185" w:type="dxa"/>
          </w:tcPr>
          <w:p>
            <w:pPr>
              <w:spacing w:line="240" w:lineRule="auto"/>
              <w:rPr>
                <w:b/>
                <w:bCs/>
                <w:szCs w:val="21"/>
              </w:rPr>
            </w:pPr>
            <w:r>
              <w:rPr>
                <w:rFonts w:hint="eastAsia"/>
                <w:b/>
                <w:bCs/>
                <w:szCs w:val="21"/>
              </w:rPr>
              <w:t>责任人</w:t>
            </w:r>
          </w:p>
        </w:tc>
        <w:tc>
          <w:tcPr>
            <w:tcW w:w="1186" w:type="dxa"/>
          </w:tcPr>
          <w:p>
            <w:pPr>
              <w:spacing w:line="240" w:lineRule="auto"/>
              <w:rPr>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采购阶段</w:t>
            </w:r>
          </w:p>
        </w:tc>
        <w:tc>
          <w:tcPr>
            <w:tcW w:w="1185" w:type="dxa"/>
          </w:tcPr>
          <w:p>
            <w:pPr>
              <w:tabs>
                <w:tab w:val="left" w:pos="1330"/>
                <w:tab w:val="clear" w:pos="426"/>
              </w:tabs>
              <w:spacing w:line="240" w:lineRule="auto"/>
              <w:rPr>
                <w:szCs w:val="21"/>
              </w:rPr>
            </w:pPr>
            <w:r>
              <w:rPr>
                <w:rFonts w:hint="eastAsia"/>
                <w:szCs w:val="21"/>
              </w:rPr>
              <w:t>需求编制</w:t>
            </w:r>
          </w:p>
        </w:tc>
        <w:tc>
          <w:tcPr>
            <w:tcW w:w="1185" w:type="dxa"/>
          </w:tcPr>
          <w:p>
            <w:pPr>
              <w:tabs>
                <w:tab w:val="left" w:pos="1330"/>
                <w:tab w:val="clear" w:pos="426"/>
              </w:tabs>
              <w:spacing w:line="240" w:lineRule="auto"/>
              <w:rPr>
                <w:szCs w:val="21"/>
              </w:rPr>
            </w:pPr>
            <w:r>
              <w:rPr>
                <w:rFonts w:hint="eastAsia"/>
                <w:szCs w:val="21"/>
              </w:rPr>
              <w:t>需求编制与实际不符</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szCs w:val="21"/>
              </w:rPr>
            </w:pPr>
            <w:r>
              <w:rPr>
                <w:rFonts w:hint="eastAsia"/>
                <w:szCs w:val="21"/>
              </w:rPr>
              <w:t>采购人</w:t>
            </w:r>
          </w:p>
        </w:tc>
        <w:tc>
          <w:tcPr>
            <w:tcW w:w="1186" w:type="dxa"/>
          </w:tcPr>
          <w:p>
            <w:pPr>
              <w:tabs>
                <w:tab w:val="left" w:pos="1330"/>
                <w:tab w:val="clear" w:pos="426"/>
              </w:tabs>
              <w:spacing w:line="240" w:lineRule="auto"/>
              <w:rPr>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采购阶段</w:t>
            </w:r>
          </w:p>
        </w:tc>
        <w:tc>
          <w:tcPr>
            <w:tcW w:w="1185" w:type="dxa"/>
          </w:tcPr>
          <w:p>
            <w:pPr>
              <w:tabs>
                <w:tab w:val="left" w:pos="1330"/>
                <w:tab w:val="clear" w:pos="426"/>
              </w:tabs>
              <w:spacing w:line="240" w:lineRule="auto"/>
              <w:rPr>
                <w:szCs w:val="21"/>
              </w:rPr>
            </w:pPr>
            <w:r>
              <w:rPr>
                <w:rFonts w:hint="eastAsia"/>
                <w:szCs w:val="21"/>
              </w:rPr>
              <w:t>采购活动</w:t>
            </w:r>
          </w:p>
        </w:tc>
        <w:tc>
          <w:tcPr>
            <w:tcW w:w="1185" w:type="dxa"/>
          </w:tcPr>
          <w:p>
            <w:pPr>
              <w:tabs>
                <w:tab w:val="left" w:pos="1330"/>
                <w:tab w:val="clear" w:pos="426"/>
              </w:tabs>
              <w:spacing w:line="240" w:lineRule="auto"/>
              <w:rPr>
                <w:szCs w:val="21"/>
              </w:rPr>
            </w:pPr>
            <w:r>
              <w:rPr>
                <w:rFonts w:hint="eastAsia"/>
                <w:szCs w:val="21"/>
              </w:rPr>
              <w:t>标书的填写符合性及与需求的符合性</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szCs w:val="21"/>
              </w:rPr>
            </w:pPr>
            <w:r>
              <w:rPr>
                <w:rFonts w:hint="eastAsia"/>
                <w:szCs w:val="21"/>
              </w:rPr>
              <w:t>代理机构</w:t>
            </w:r>
          </w:p>
        </w:tc>
        <w:tc>
          <w:tcPr>
            <w:tcW w:w="1186" w:type="dxa"/>
          </w:tcPr>
          <w:p>
            <w:pPr>
              <w:tabs>
                <w:tab w:val="left" w:pos="1330"/>
                <w:tab w:val="clear" w:pos="426"/>
              </w:tabs>
              <w:spacing w:line="240" w:lineRule="auto"/>
              <w:rPr>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合同履约阶段</w:t>
            </w:r>
          </w:p>
        </w:tc>
        <w:tc>
          <w:tcPr>
            <w:tcW w:w="1185" w:type="dxa"/>
          </w:tcPr>
          <w:p>
            <w:pPr>
              <w:tabs>
                <w:tab w:val="left" w:pos="1330"/>
                <w:tab w:val="clear" w:pos="426"/>
              </w:tabs>
              <w:spacing w:line="240" w:lineRule="auto"/>
              <w:rPr>
                <w:szCs w:val="21"/>
              </w:rPr>
            </w:pPr>
            <w:r>
              <w:rPr>
                <w:rFonts w:hint="eastAsia"/>
                <w:szCs w:val="21"/>
              </w:rPr>
              <w:t>合同履约</w:t>
            </w:r>
          </w:p>
        </w:tc>
        <w:tc>
          <w:tcPr>
            <w:tcW w:w="1185" w:type="dxa"/>
          </w:tcPr>
          <w:p>
            <w:pPr>
              <w:tabs>
                <w:tab w:val="left" w:pos="1330"/>
                <w:tab w:val="clear" w:pos="426"/>
              </w:tabs>
              <w:spacing w:line="240" w:lineRule="auto"/>
              <w:rPr>
                <w:szCs w:val="21"/>
              </w:rPr>
            </w:pPr>
            <w:r>
              <w:rPr>
                <w:rFonts w:hint="eastAsia"/>
                <w:szCs w:val="21"/>
              </w:rPr>
              <w:t>供应商不能按照合同准时履约</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szCs w:val="21"/>
              </w:rPr>
            </w:pPr>
            <w:r>
              <w:rPr>
                <w:rFonts w:hint="eastAsia"/>
                <w:szCs w:val="21"/>
              </w:rPr>
              <w:t>供应商</w:t>
            </w:r>
          </w:p>
        </w:tc>
        <w:tc>
          <w:tcPr>
            <w:tcW w:w="1186" w:type="dxa"/>
          </w:tcPr>
          <w:p>
            <w:pPr>
              <w:tabs>
                <w:tab w:val="left" w:pos="1330"/>
                <w:tab w:val="clear" w:pos="426"/>
              </w:tabs>
              <w:spacing w:line="240" w:lineRule="auto"/>
              <w:rPr>
                <w:szCs w:val="21"/>
              </w:rPr>
            </w:pPr>
            <w:r>
              <w:rPr>
                <w:rFonts w:hint="eastAsia"/>
                <w:szCs w:val="21"/>
              </w:rPr>
              <w:t>合同履约环节</w:t>
            </w:r>
          </w:p>
        </w:tc>
      </w:tr>
    </w:tbl>
    <w:p/>
    <w:p>
      <w:r>
        <w:rPr>
          <w:rFonts w:hint="eastAsia"/>
        </w:rPr>
        <w:br w:type="page"/>
      </w:r>
    </w:p>
    <w:p>
      <w:pPr>
        <w:pStyle w:val="62"/>
      </w:pPr>
      <w:bookmarkStart w:id="62" w:name="_Toc25501"/>
      <w:r>
        <w:rPr>
          <w:rFonts w:hint="eastAsia"/>
        </w:rPr>
        <w:t>第四章 资格审查和评标方法</w:t>
      </w:r>
      <w:bookmarkEnd w:id="62"/>
    </w:p>
    <w:p>
      <w:pPr>
        <w:pStyle w:val="62"/>
      </w:pPr>
      <w:bookmarkStart w:id="63" w:name="_Toc12702"/>
      <w:r>
        <w:rPr>
          <w:rFonts w:hint="eastAsia"/>
        </w:rPr>
        <w:t>前附表（一）</w:t>
      </w:r>
      <w:r>
        <w:t>资格审查表</w:t>
      </w:r>
      <w:bookmarkEnd w:id="63"/>
    </w:p>
    <w:p>
      <w:pPr>
        <w:tabs>
          <w:tab w:val="clear" w:pos="426"/>
        </w:tabs>
        <w:spacing w:before="231" w:beforeLines="50" w:after="231"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b/>
              </w:rPr>
            </w:pPr>
            <w:r>
              <w:rPr>
                <w:rFonts w:hint="eastAsia"/>
                <w:b/>
              </w:rPr>
              <w:t>序号</w:t>
            </w:r>
          </w:p>
        </w:tc>
        <w:tc>
          <w:tcPr>
            <w:tcW w:w="8806"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4" w:name="_Toc10832"/>
      <w:bookmarkStart w:id="65" w:name="_Toc435514846"/>
      <w:r>
        <w:rPr>
          <w:rFonts w:hint="eastAsia"/>
          <w:sz w:val="24"/>
        </w:rPr>
        <w:t>前附表（二）符合性审查表</w:t>
      </w:r>
      <w:bookmarkEnd w:id="64"/>
    </w:p>
    <w:p>
      <w:pPr>
        <w:tabs>
          <w:tab w:val="clear" w:pos="426"/>
        </w:tabs>
        <w:spacing w:before="231" w:beforeLines="50" w:after="231"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b/>
              </w:rPr>
            </w:pPr>
            <w:r>
              <w:rPr>
                <w:rFonts w:hint="eastAsia"/>
                <w:b/>
              </w:rPr>
              <w:t>序号</w:t>
            </w:r>
          </w:p>
        </w:tc>
        <w:tc>
          <w:tcPr>
            <w:tcW w:w="8806"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法律、法规规定的属于投标无效的其他情形。</w:t>
            </w:r>
          </w:p>
        </w:tc>
      </w:tr>
    </w:tbl>
    <w:p>
      <w:r>
        <w:br w:type="page"/>
      </w:r>
    </w:p>
    <w:p>
      <w:pPr>
        <w:pStyle w:val="62"/>
      </w:pPr>
      <w:bookmarkStart w:id="66" w:name="_Toc11333"/>
      <w:r>
        <w:rPr>
          <w:rFonts w:hint="eastAsia"/>
        </w:rPr>
        <w:t>前附表（三）综合评分法评分因素和权重分值表</w:t>
      </w:r>
      <w:bookmarkEnd w:id="66"/>
    </w:p>
    <w:p>
      <w:pPr>
        <w:jc w:val="center"/>
        <w:rPr>
          <w:b/>
          <w:bCs/>
        </w:rPr>
      </w:pPr>
      <w:r>
        <w:rPr>
          <w:rFonts w:hint="eastAsia"/>
          <w:b/>
          <w:bCs/>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评分项及评分规则</w:t>
            </w:r>
          </w:p>
        </w:tc>
        <w:tc>
          <w:tcPr>
            <w:tcW w:w="1187" w:type="dxa"/>
            <w:vAlign w:val="center"/>
          </w:tcPr>
          <w:p>
            <w:pPr>
              <w:autoSpaceDE w:val="0"/>
              <w:autoSpaceDN w:val="0"/>
              <w:jc w:val="center"/>
              <w:rPr>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一、价格部分</w:t>
            </w:r>
          </w:p>
        </w:tc>
        <w:tc>
          <w:tcPr>
            <w:tcW w:w="1187" w:type="dxa"/>
            <w:vAlign w:val="center"/>
          </w:tcPr>
          <w:p>
            <w:pPr>
              <w:autoSpaceDE w:val="0"/>
              <w:autoSpaceDN w:val="0"/>
              <w:jc w:val="center"/>
              <w:rPr>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szCs w:val="21"/>
              </w:rPr>
            </w:pPr>
            <w:r>
              <w:rPr>
                <w:rFonts w:hint="eastAsia"/>
                <w:szCs w:val="21"/>
              </w:rPr>
              <w:t>投标报价得分=(评标基准价／投标报价)×30</w:t>
            </w:r>
          </w:p>
          <w:p>
            <w:pPr>
              <w:rPr>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b/>
                <w:szCs w:val="21"/>
              </w:rPr>
            </w:pPr>
            <w:r>
              <w:rPr>
                <w:rFonts w:hint="eastAsia"/>
                <w:b/>
                <w:szCs w:val="21"/>
              </w:rPr>
              <w:t>二、技术部分</w:t>
            </w:r>
          </w:p>
        </w:tc>
        <w:tc>
          <w:tcPr>
            <w:tcW w:w="1187" w:type="dxa"/>
            <w:vAlign w:val="center"/>
          </w:tcPr>
          <w:p>
            <w:pPr>
              <w:autoSpaceDE w:val="0"/>
              <w:autoSpaceDN w:val="0"/>
              <w:jc w:val="center"/>
              <w:rPr>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技术规格偏离情况</w:t>
            </w:r>
          </w:p>
        </w:tc>
        <w:tc>
          <w:tcPr>
            <w:tcW w:w="709" w:type="dxa"/>
            <w:vAlign w:val="center"/>
          </w:tcPr>
          <w:p>
            <w:pPr>
              <w:jc w:val="center"/>
              <w:rPr>
                <w:szCs w:val="21"/>
              </w:rPr>
            </w:pPr>
            <w:r>
              <w:rPr>
                <w:rFonts w:hint="eastAsia"/>
                <w:szCs w:val="21"/>
              </w:rPr>
              <w:t>50</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65</w:t>
            </w:r>
            <w:r>
              <w:rPr>
                <w:rFonts w:hint="eastAsia"/>
                <w:szCs w:val="21"/>
              </w:rPr>
              <w:t>分。本项最低得0分。</w:t>
            </w:r>
          </w:p>
          <w:p>
            <w:pPr>
              <w:jc w:val="left"/>
              <w:rPr>
                <w:szCs w:val="21"/>
              </w:rPr>
            </w:pPr>
            <w:r>
              <w:rPr>
                <w:rFonts w:hint="eastAsia"/>
                <w:szCs w:val="21"/>
              </w:rPr>
              <w:t>（二）评分依据：</w:t>
            </w:r>
          </w:p>
          <w:p>
            <w:pPr>
              <w:jc w:val="left"/>
              <w:rPr>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技术保障措施</w:t>
            </w:r>
          </w:p>
        </w:tc>
        <w:tc>
          <w:tcPr>
            <w:tcW w:w="709" w:type="dxa"/>
            <w:vAlign w:val="center"/>
          </w:tcPr>
          <w:p>
            <w:pPr>
              <w:jc w:val="center"/>
              <w:rPr>
                <w:szCs w:val="21"/>
              </w:rPr>
            </w:pPr>
            <w:r>
              <w:rPr>
                <w:rFonts w:hint="eastAsia"/>
                <w:szCs w:val="21"/>
              </w:rPr>
              <w:t>4</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投标人在投标文件中详细说明技术保障措施，包含以下内容：</w:t>
            </w:r>
          </w:p>
          <w:p>
            <w:pPr>
              <w:jc w:val="left"/>
              <w:rPr>
                <w:szCs w:val="21"/>
              </w:rPr>
            </w:pPr>
            <w:r>
              <w:rPr>
                <w:rFonts w:hint="eastAsia"/>
                <w:szCs w:val="21"/>
              </w:rPr>
              <w:t>（1）供货方案；</w:t>
            </w:r>
          </w:p>
          <w:p>
            <w:pPr>
              <w:jc w:val="left"/>
              <w:rPr>
                <w:szCs w:val="21"/>
              </w:rPr>
            </w:pPr>
            <w:r>
              <w:rPr>
                <w:rFonts w:hint="eastAsia"/>
                <w:szCs w:val="21"/>
              </w:rPr>
              <w:t>（2）安装调试方案；</w:t>
            </w:r>
          </w:p>
          <w:p>
            <w:pPr>
              <w:jc w:val="left"/>
              <w:rPr>
                <w:szCs w:val="21"/>
              </w:rPr>
            </w:pPr>
            <w:r>
              <w:rPr>
                <w:rFonts w:hint="eastAsia"/>
                <w:szCs w:val="21"/>
              </w:rPr>
              <w:t>（3）质量管理措施。</w:t>
            </w:r>
          </w:p>
          <w:p>
            <w:pPr>
              <w:jc w:val="left"/>
              <w:rPr>
                <w:szCs w:val="21"/>
              </w:rPr>
            </w:pPr>
            <w:r>
              <w:rPr>
                <w:rFonts w:hint="eastAsia"/>
                <w:szCs w:val="21"/>
              </w:rPr>
              <w:t xml:space="preserve">（二）评分标准： </w:t>
            </w:r>
          </w:p>
          <w:p>
            <w:pPr>
              <w:jc w:val="left"/>
              <w:rPr>
                <w:szCs w:val="21"/>
              </w:rPr>
            </w:pPr>
            <w:r>
              <w:rPr>
                <w:rFonts w:hint="eastAsia"/>
                <w:szCs w:val="21"/>
              </w:rPr>
              <w:t>1.供货方案全面、有针对性的得2分；方案内容简单、笼统，存在较多的不足的得1分；未提供的0分。</w:t>
            </w:r>
          </w:p>
          <w:p>
            <w:pPr>
              <w:jc w:val="left"/>
              <w:rPr>
                <w:szCs w:val="21"/>
              </w:rPr>
            </w:pPr>
            <w:r>
              <w:rPr>
                <w:rFonts w:hint="eastAsia"/>
                <w:szCs w:val="21"/>
              </w:rPr>
              <w:t>2.安装调试方案全面、有针对性的得1分；方案内容简单、笼统，存在较多的不足的得0.5分；未提供的0分。</w:t>
            </w:r>
          </w:p>
          <w:p>
            <w:pPr>
              <w:jc w:val="left"/>
              <w:rPr>
                <w:szCs w:val="21"/>
              </w:rPr>
            </w:pPr>
            <w:r>
              <w:rPr>
                <w:rFonts w:hint="eastAsia"/>
                <w:szCs w:val="21"/>
              </w:rPr>
              <w:t>3.质量管理措施切实、有效的得1分；质量管理措施简单、笼统，存在较多的不足的得0.5分；未提供的0分。</w:t>
            </w:r>
          </w:p>
          <w:p>
            <w:pPr>
              <w:jc w:val="left"/>
              <w:rPr>
                <w:szCs w:val="21"/>
              </w:rPr>
            </w:pPr>
            <w:r>
              <w:rPr>
                <w:rFonts w:hint="eastAsia"/>
                <w:szCs w:val="21"/>
              </w:rPr>
              <w:t>以上3项合计最高4分。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szCs w:val="21"/>
              </w:rPr>
            </w:pPr>
            <w:r>
              <w:rPr>
                <w:rFonts w:hint="eastAsia"/>
                <w:szCs w:val="21"/>
              </w:rPr>
              <w:t>3</w:t>
            </w:r>
          </w:p>
        </w:tc>
        <w:tc>
          <w:tcPr>
            <w:tcW w:w="1143" w:type="dxa"/>
            <w:vAlign w:val="center"/>
          </w:tcPr>
          <w:p>
            <w:pPr>
              <w:jc w:val="center"/>
              <w:rPr>
                <w:szCs w:val="21"/>
              </w:rPr>
            </w:pPr>
            <w:r>
              <w:rPr>
                <w:rFonts w:hint="eastAsia"/>
                <w:szCs w:val="21"/>
              </w:rPr>
              <w:t>售后服务方案</w:t>
            </w:r>
          </w:p>
        </w:tc>
        <w:tc>
          <w:tcPr>
            <w:tcW w:w="709" w:type="dxa"/>
            <w:vAlign w:val="center"/>
          </w:tcPr>
          <w:p>
            <w:pPr>
              <w:jc w:val="center"/>
              <w:rPr>
                <w:szCs w:val="21"/>
              </w:rPr>
            </w:pPr>
            <w:r>
              <w:rPr>
                <w:rFonts w:hint="eastAsia"/>
                <w:szCs w:val="21"/>
              </w:rPr>
              <w:t>6</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投标人提供售后服务方案，包含以下内容：</w:t>
            </w:r>
          </w:p>
          <w:p>
            <w:pPr>
              <w:jc w:val="left"/>
              <w:rPr>
                <w:szCs w:val="21"/>
              </w:rPr>
            </w:pPr>
            <w:r>
              <w:rPr>
                <w:rFonts w:hint="eastAsia"/>
                <w:szCs w:val="21"/>
              </w:rPr>
              <w:t>（1）售后服务机构及维护人员配置；</w:t>
            </w:r>
          </w:p>
          <w:p>
            <w:pPr>
              <w:jc w:val="left"/>
              <w:rPr>
                <w:szCs w:val="21"/>
              </w:rPr>
            </w:pPr>
            <w:r>
              <w:rPr>
                <w:rFonts w:hint="eastAsia"/>
                <w:szCs w:val="21"/>
              </w:rPr>
              <w:t>（2）维修维护方案；</w:t>
            </w:r>
          </w:p>
          <w:p>
            <w:pPr>
              <w:jc w:val="left"/>
              <w:rPr>
                <w:szCs w:val="21"/>
              </w:rPr>
            </w:pPr>
            <w:r>
              <w:rPr>
                <w:rFonts w:hint="eastAsia"/>
                <w:szCs w:val="21"/>
              </w:rPr>
              <w:t>（3）技术培训方案；</w:t>
            </w:r>
          </w:p>
          <w:p>
            <w:pPr>
              <w:jc w:val="left"/>
              <w:rPr>
                <w:szCs w:val="21"/>
              </w:rPr>
            </w:pPr>
            <w:r>
              <w:rPr>
                <w:rFonts w:hint="eastAsia"/>
                <w:szCs w:val="21"/>
              </w:rPr>
              <w:t>（4）备品备件支持计划。</w:t>
            </w:r>
          </w:p>
          <w:p>
            <w:pPr>
              <w:jc w:val="left"/>
              <w:rPr>
                <w:szCs w:val="21"/>
              </w:rPr>
            </w:pPr>
            <w:r>
              <w:rPr>
                <w:rFonts w:hint="eastAsia"/>
                <w:szCs w:val="21"/>
              </w:rPr>
              <w:t xml:space="preserve">（二）评分标准： </w:t>
            </w:r>
          </w:p>
          <w:p>
            <w:pPr>
              <w:jc w:val="left"/>
              <w:rPr>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szCs w:val="21"/>
              </w:rPr>
            </w:pPr>
            <w:r>
              <w:rPr>
                <w:rFonts w:hint="eastAsia"/>
                <w:szCs w:val="21"/>
              </w:rPr>
              <w:t>4.响应速度快、备品备件齐全的得1.5分；响应速度较快、备品备件较齐全的得1分；响应速度慢、备品备件不够齐全的得 0.5分：未提供的不得分。</w:t>
            </w:r>
          </w:p>
          <w:p>
            <w:pPr>
              <w:jc w:val="left"/>
              <w:rPr>
                <w:szCs w:val="21"/>
              </w:rPr>
            </w:pPr>
            <w:r>
              <w:rPr>
                <w:rFonts w:hint="eastAsia"/>
                <w:szCs w:val="21"/>
              </w:rPr>
              <w:t>以上4项合计最高6分。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b/>
                <w:bCs/>
                <w:szCs w:val="21"/>
              </w:rPr>
            </w:pPr>
            <w:r>
              <w:rPr>
                <w:rFonts w:hint="eastAsia"/>
                <w:b/>
                <w:bCs/>
                <w:szCs w:val="21"/>
              </w:rPr>
              <w:t>三、商务部分</w:t>
            </w:r>
          </w:p>
        </w:tc>
        <w:tc>
          <w:tcPr>
            <w:tcW w:w="1187" w:type="dxa"/>
            <w:vAlign w:val="center"/>
          </w:tcPr>
          <w:p>
            <w:pPr>
              <w:autoSpaceDE w:val="0"/>
              <w:autoSpaceDN w:val="0"/>
              <w:jc w:val="center"/>
              <w:rPr>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商务需求条款偏离情况</w:t>
            </w:r>
          </w:p>
        </w:tc>
        <w:tc>
          <w:tcPr>
            <w:tcW w:w="709" w:type="dxa"/>
            <w:vAlign w:val="center"/>
          </w:tcPr>
          <w:p>
            <w:pPr>
              <w:jc w:val="center"/>
              <w:rPr>
                <w:szCs w:val="21"/>
              </w:rPr>
            </w:pPr>
            <w:r>
              <w:rPr>
                <w:rFonts w:hint="eastAsia"/>
                <w:szCs w:val="21"/>
              </w:rPr>
              <w:t>4</w:t>
            </w:r>
          </w:p>
        </w:tc>
        <w:tc>
          <w:tcPr>
            <w:tcW w:w="5953" w:type="dxa"/>
            <w:vAlign w:val="center"/>
          </w:tcPr>
          <w:p>
            <w:pPr>
              <w:autoSpaceDE w:val="0"/>
              <w:autoSpaceDN w:val="0"/>
              <w:jc w:val="left"/>
              <w:rPr>
                <w:szCs w:val="21"/>
              </w:rPr>
            </w:pPr>
            <w:r>
              <w:rPr>
                <w:rFonts w:hint="eastAsia"/>
                <w:szCs w:val="21"/>
              </w:rPr>
              <w:t>投标人应如实填写《商务条款偏离表》，评审委员会根据服务条款响应情况进行评审：</w:t>
            </w:r>
          </w:p>
          <w:p>
            <w:pPr>
              <w:jc w:val="left"/>
              <w:rPr>
                <w:szCs w:val="21"/>
              </w:rPr>
            </w:pPr>
            <w:r>
              <w:rPr>
                <w:rFonts w:hint="eastAsia"/>
                <w:szCs w:val="21"/>
              </w:rPr>
              <w:t>完全满足招标文件商务要求，应答完整的得4分；“★”为不可偏离条款；以此为基础，投标人一般商务响应低于招标文件规定的，每有一项减0.5分。本项最低得0分。</w:t>
            </w:r>
          </w:p>
          <w:p>
            <w:pPr>
              <w:autoSpaceDE w:val="0"/>
              <w:autoSpaceDN w:val="0"/>
              <w:jc w:val="left"/>
              <w:rPr>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同类项目业绩情况</w:t>
            </w:r>
          </w:p>
        </w:tc>
        <w:tc>
          <w:tcPr>
            <w:tcW w:w="709" w:type="dxa"/>
            <w:vAlign w:val="center"/>
          </w:tcPr>
          <w:p>
            <w:pPr>
              <w:jc w:val="center"/>
              <w:rPr>
                <w:szCs w:val="21"/>
              </w:rPr>
            </w:pPr>
            <w:r>
              <w:rPr>
                <w:rFonts w:hint="eastAsia"/>
                <w:szCs w:val="21"/>
              </w:rPr>
              <w:t>4</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rPr>
                <w:szCs w:val="21"/>
              </w:rPr>
            </w:pPr>
            <w:r>
              <w:rPr>
                <w:rFonts w:hint="eastAsia"/>
                <w:szCs w:val="21"/>
              </w:rPr>
              <w:t>自2021年10月1日至本项目投标截止日，（以合同签订日期为准）投标人具有荧光PCR仪产品销售业绩的 ，每提供1个项目得1分，最高得4分。</w:t>
            </w:r>
          </w:p>
          <w:p>
            <w:pPr>
              <w:autoSpaceDE w:val="0"/>
              <w:autoSpaceDN w:val="0"/>
              <w:jc w:val="left"/>
              <w:rPr>
                <w:szCs w:val="21"/>
              </w:rPr>
            </w:pPr>
            <w:r>
              <w:rPr>
                <w:rFonts w:hint="eastAsia"/>
                <w:szCs w:val="21"/>
              </w:rPr>
              <w:t>（二）评分依据：</w:t>
            </w:r>
          </w:p>
          <w:p>
            <w:pPr>
              <w:rPr>
                <w:szCs w:val="21"/>
              </w:rPr>
            </w:pPr>
            <w:r>
              <w:rPr>
                <w:rFonts w:hint="eastAsia"/>
                <w:szCs w:val="21"/>
              </w:rPr>
              <w:t>1. 提供合同关键页且各项信息不得有任何遮挡；</w:t>
            </w:r>
          </w:p>
          <w:p>
            <w:pPr>
              <w:rPr>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3</w:t>
            </w:r>
          </w:p>
        </w:tc>
        <w:tc>
          <w:tcPr>
            <w:tcW w:w="1143" w:type="dxa"/>
            <w:vAlign w:val="center"/>
          </w:tcPr>
          <w:p>
            <w:pPr>
              <w:jc w:val="center"/>
              <w:rPr>
                <w:szCs w:val="21"/>
              </w:rPr>
            </w:pPr>
            <w:r>
              <w:rPr>
                <w:rFonts w:hint="eastAsia"/>
                <w:szCs w:val="21"/>
              </w:rPr>
              <w:t>相关认证情况</w:t>
            </w:r>
          </w:p>
        </w:tc>
        <w:tc>
          <w:tcPr>
            <w:tcW w:w="709" w:type="dxa"/>
            <w:vAlign w:val="center"/>
          </w:tcPr>
          <w:p>
            <w:pPr>
              <w:jc w:val="center"/>
              <w:rPr>
                <w:szCs w:val="21"/>
              </w:rPr>
            </w:pPr>
            <w:r>
              <w:rPr>
                <w:rFonts w:hint="eastAsia"/>
                <w:szCs w:val="21"/>
              </w:rPr>
              <w:t>2</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autoSpaceDE w:val="0"/>
              <w:autoSpaceDN w:val="0"/>
              <w:jc w:val="left"/>
              <w:rPr>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szCs w:val="21"/>
              </w:rPr>
            </w:pPr>
            <w:r>
              <w:rPr>
                <w:rFonts w:hint="eastAsia"/>
                <w:szCs w:val="21"/>
              </w:rPr>
              <w:t>（二）评分依据：</w:t>
            </w:r>
          </w:p>
          <w:p>
            <w:pPr>
              <w:autoSpaceDE w:val="0"/>
              <w:autoSpaceDN w:val="0"/>
              <w:jc w:val="left"/>
              <w:rPr>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bl>
    <w:p>
      <w:pPr>
        <w:jc w:val="center"/>
        <w:rPr>
          <w:b/>
          <w:bCs/>
        </w:rPr>
      </w:pPr>
    </w:p>
    <w:p>
      <w:pPr>
        <w:jc w:val="center"/>
        <w:rPr>
          <w:b/>
          <w:bCs/>
        </w:rPr>
      </w:pPr>
      <w:r>
        <w:rPr>
          <w:rFonts w:hint="eastAsia"/>
          <w:b/>
          <w:bCs/>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评分项及评分规则</w:t>
            </w:r>
          </w:p>
        </w:tc>
        <w:tc>
          <w:tcPr>
            <w:tcW w:w="1187" w:type="dxa"/>
            <w:vAlign w:val="center"/>
          </w:tcPr>
          <w:p>
            <w:pPr>
              <w:autoSpaceDE w:val="0"/>
              <w:autoSpaceDN w:val="0"/>
              <w:jc w:val="center"/>
              <w:rPr>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一、价格部分</w:t>
            </w:r>
          </w:p>
        </w:tc>
        <w:tc>
          <w:tcPr>
            <w:tcW w:w="1187" w:type="dxa"/>
            <w:vAlign w:val="center"/>
          </w:tcPr>
          <w:p>
            <w:pPr>
              <w:autoSpaceDE w:val="0"/>
              <w:autoSpaceDN w:val="0"/>
              <w:jc w:val="center"/>
              <w:rPr>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szCs w:val="21"/>
              </w:rPr>
            </w:pPr>
            <w:r>
              <w:rPr>
                <w:rFonts w:hint="eastAsia"/>
                <w:szCs w:val="21"/>
              </w:rPr>
              <w:t>投标报价得分=(评标基准价／投标报价)×30</w:t>
            </w:r>
          </w:p>
          <w:p>
            <w:pPr>
              <w:rPr>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b/>
                <w:szCs w:val="21"/>
              </w:rPr>
            </w:pPr>
            <w:r>
              <w:rPr>
                <w:rFonts w:hint="eastAsia"/>
                <w:b/>
                <w:szCs w:val="21"/>
              </w:rPr>
              <w:t>二、技术部分</w:t>
            </w:r>
          </w:p>
        </w:tc>
        <w:tc>
          <w:tcPr>
            <w:tcW w:w="1187" w:type="dxa"/>
            <w:vAlign w:val="center"/>
          </w:tcPr>
          <w:p>
            <w:pPr>
              <w:autoSpaceDE w:val="0"/>
              <w:autoSpaceDN w:val="0"/>
              <w:jc w:val="center"/>
              <w:rPr>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技术规格偏离情况</w:t>
            </w:r>
          </w:p>
        </w:tc>
        <w:tc>
          <w:tcPr>
            <w:tcW w:w="709" w:type="dxa"/>
            <w:vAlign w:val="center"/>
          </w:tcPr>
          <w:p>
            <w:pPr>
              <w:jc w:val="center"/>
              <w:rPr>
                <w:szCs w:val="21"/>
              </w:rPr>
            </w:pPr>
            <w:r>
              <w:rPr>
                <w:rFonts w:hint="eastAsia"/>
                <w:szCs w:val="21"/>
              </w:rPr>
              <w:t>50</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完全满足招标文件技术指标、参数要求，应答完整的得50分；“★”为不可偏离参数；以此为基础，投标人的技术响应低于招标文件中规定的“▲”技术要求每有一项减6分；投标人一般技术响应低于招标文件规定的，每有一项减0.72分。本项最低得0分。</w:t>
            </w:r>
          </w:p>
          <w:p>
            <w:pPr>
              <w:jc w:val="left"/>
              <w:rPr>
                <w:szCs w:val="21"/>
              </w:rPr>
            </w:pPr>
            <w:r>
              <w:rPr>
                <w:rFonts w:hint="eastAsia"/>
                <w:szCs w:val="21"/>
              </w:rPr>
              <w:t>（二）评分依据：</w:t>
            </w:r>
          </w:p>
          <w:p>
            <w:pPr>
              <w:jc w:val="left"/>
              <w:rPr>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技术保障措施</w:t>
            </w:r>
          </w:p>
        </w:tc>
        <w:tc>
          <w:tcPr>
            <w:tcW w:w="709" w:type="dxa"/>
            <w:vAlign w:val="center"/>
          </w:tcPr>
          <w:p>
            <w:pPr>
              <w:jc w:val="center"/>
              <w:rPr>
                <w:szCs w:val="21"/>
              </w:rPr>
            </w:pPr>
            <w:r>
              <w:rPr>
                <w:rFonts w:hint="eastAsia"/>
                <w:szCs w:val="21"/>
              </w:rPr>
              <w:t>4</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投标人在投标文件中详细说明技术保障措施，包含以下内容：</w:t>
            </w:r>
          </w:p>
          <w:p>
            <w:pPr>
              <w:jc w:val="left"/>
              <w:rPr>
                <w:szCs w:val="21"/>
              </w:rPr>
            </w:pPr>
            <w:r>
              <w:rPr>
                <w:rFonts w:hint="eastAsia"/>
                <w:szCs w:val="21"/>
              </w:rPr>
              <w:t>（1）供货方案；</w:t>
            </w:r>
          </w:p>
          <w:p>
            <w:pPr>
              <w:jc w:val="left"/>
              <w:rPr>
                <w:szCs w:val="21"/>
              </w:rPr>
            </w:pPr>
            <w:r>
              <w:rPr>
                <w:rFonts w:hint="eastAsia"/>
                <w:szCs w:val="21"/>
              </w:rPr>
              <w:t>（2）安装调试方案；</w:t>
            </w:r>
          </w:p>
          <w:p>
            <w:pPr>
              <w:jc w:val="left"/>
              <w:rPr>
                <w:szCs w:val="21"/>
              </w:rPr>
            </w:pPr>
            <w:r>
              <w:rPr>
                <w:rFonts w:hint="eastAsia"/>
                <w:szCs w:val="21"/>
              </w:rPr>
              <w:t>（3）质量管理措施。</w:t>
            </w:r>
          </w:p>
          <w:p>
            <w:pPr>
              <w:jc w:val="left"/>
              <w:rPr>
                <w:szCs w:val="21"/>
              </w:rPr>
            </w:pPr>
            <w:r>
              <w:rPr>
                <w:rFonts w:hint="eastAsia"/>
                <w:szCs w:val="21"/>
              </w:rPr>
              <w:t xml:space="preserve">（二）评分标准： </w:t>
            </w:r>
          </w:p>
          <w:p>
            <w:pPr>
              <w:jc w:val="left"/>
              <w:rPr>
                <w:szCs w:val="21"/>
              </w:rPr>
            </w:pPr>
            <w:r>
              <w:rPr>
                <w:rFonts w:hint="eastAsia"/>
                <w:szCs w:val="21"/>
              </w:rPr>
              <w:t>1.供货方案全面、有针对性的得2分；方案内容简单、笼统，存在较多的不足的得1分；未提供的0分。</w:t>
            </w:r>
          </w:p>
          <w:p>
            <w:pPr>
              <w:jc w:val="left"/>
              <w:rPr>
                <w:szCs w:val="21"/>
              </w:rPr>
            </w:pPr>
            <w:r>
              <w:rPr>
                <w:rFonts w:hint="eastAsia"/>
                <w:szCs w:val="21"/>
              </w:rPr>
              <w:t>2.安装调试方案全面、有针对性的得1分；方案内容简单、笼统，存在较多的不足的得0.5分；未提供的0分。</w:t>
            </w:r>
          </w:p>
          <w:p>
            <w:pPr>
              <w:jc w:val="left"/>
              <w:rPr>
                <w:szCs w:val="21"/>
              </w:rPr>
            </w:pPr>
            <w:r>
              <w:rPr>
                <w:rFonts w:hint="eastAsia"/>
                <w:szCs w:val="21"/>
              </w:rPr>
              <w:t>3.质量管理措施切实、有效的得1分；质量管理措施简单、笼统，存在较多的不足的得0.5分；未提供的0分。</w:t>
            </w:r>
          </w:p>
          <w:p>
            <w:pPr>
              <w:jc w:val="left"/>
              <w:rPr>
                <w:szCs w:val="21"/>
              </w:rPr>
            </w:pPr>
            <w:r>
              <w:rPr>
                <w:rFonts w:hint="eastAsia"/>
                <w:szCs w:val="21"/>
              </w:rPr>
              <w:t>以上3项合计最高4分。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szCs w:val="21"/>
              </w:rPr>
            </w:pPr>
            <w:r>
              <w:rPr>
                <w:rFonts w:hint="eastAsia"/>
                <w:szCs w:val="21"/>
              </w:rPr>
              <w:t>3</w:t>
            </w:r>
          </w:p>
        </w:tc>
        <w:tc>
          <w:tcPr>
            <w:tcW w:w="1143" w:type="dxa"/>
            <w:vAlign w:val="center"/>
          </w:tcPr>
          <w:p>
            <w:pPr>
              <w:jc w:val="center"/>
              <w:rPr>
                <w:szCs w:val="21"/>
              </w:rPr>
            </w:pPr>
            <w:r>
              <w:rPr>
                <w:rFonts w:hint="eastAsia"/>
                <w:szCs w:val="21"/>
              </w:rPr>
              <w:t>售后服务方案</w:t>
            </w:r>
          </w:p>
        </w:tc>
        <w:tc>
          <w:tcPr>
            <w:tcW w:w="709" w:type="dxa"/>
            <w:vAlign w:val="center"/>
          </w:tcPr>
          <w:p>
            <w:pPr>
              <w:jc w:val="center"/>
              <w:rPr>
                <w:szCs w:val="21"/>
              </w:rPr>
            </w:pPr>
            <w:r>
              <w:rPr>
                <w:rFonts w:hint="eastAsia"/>
                <w:szCs w:val="21"/>
              </w:rPr>
              <w:t>6</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投标人提供售后服务方案，包含以下内容：</w:t>
            </w:r>
          </w:p>
          <w:p>
            <w:pPr>
              <w:jc w:val="left"/>
              <w:rPr>
                <w:szCs w:val="21"/>
              </w:rPr>
            </w:pPr>
            <w:r>
              <w:rPr>
                <w:rFonts w:hint="eastAsia"/>
                <w:szCs w:val="21"/>
              </w:rPr>
              <w:t>（1）售后服务机构及维护人员配置；</w:t>
            </w:r>
          </w:p>
          <w:p>
            <w:pPr>
              <w:jc w:val="left"/>
              <w:rPr>
                <w:szCs w:val="21"/>
              </w:rPr>
            </w:pPr>
            <w:r>
              <w:rPr>
                <w:rFonts w:hint="eastAsia"/>
                <w:szCs w:val="21"/>
              </w:rPr>
              <w:t>（2）维修维护方案；</w:t>
            </w:r>
          </w:p>
          <w:p>
            <w:pPr>
              <w:jc w:val="left"/>
              <w:rPr>
                <w:szCs w:val="21"/>
              </w:rPr>
            </w:pPr>
            <w:r>
              <w:rPr>
                <w:rFonts w:hint="eastAsia"/>
                <w:szCs w:val="21"/>
              </w:rPr>
              <w:t>（3）技术培训方案；</w:t>
            </w:r>
          </w:p>
          <w:p>
            <w:pPr>
              <w:jc w:val="left"/>
              <w:rPr>
                <w:szCs w:val="21"/>
              </w:rPr>
            </w:pPr>
            <w:r>
              <w:rPr>
                <w:rFonts w:hint="eastAsia"/>
                <w:szCs w:val="21"/>
              </w:rPr>
              <w:t>（4）备品备件支持计划。</w:t>
            </w:r>
          </w:p>
          <w:p>
            <w:pPr>
              <w:jc w:val="left"/>
              <w:rPr>
                <w:szCs w:val="21"/>
              </w:rPr>
            </w:pPr>
            <w:r>
              <w:rPr>
                <w:rFonts w:hint="eastAsia"/>
                <w:szCs w:val="21"/>
              </w:rPr>
              <w:t xml:space="preserve">（二）评分标准： </w:t>
            </w:r>
          </w:p>
          <w:p>
            <w:pPr>
              <w:jc w:val="left"/>
              <w:rPr>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szCs w:val="21"/>
              </w:rPr>
            </w:pPr>
            <w:r>
              <w:rPr>
                <w:rFonts w:hint="eastAsia"/>
                <w:szCs w:val="21"/>
              </w:rPr>
              <w:t>4.响应速度快、备品备件齐全的得1.5分；响应速度较快、备品备件较齐全的得1分；响应速度慢、备品备件不够齐全的得 0.5分：未提供的不得分。</w:t>
            </w:r>
          </w:p>
          <w:p>
            <w:pPr>
              <w:jc w:val="left"/>
              <w:rPr>
                <w:szCs w:val="21"/>
              </w:rPr>
            </w:pPr>
            <w:r>
              <w:rPr>
                <w:rFonts w:hint="eastAsia"/>
                <w:szCs w:val="21"/>
              </w:rPr>
              <w:t>以上4项合计最高6分。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b/>
                <w:bCs/>
                <w:szCs w:val="21"/>
              </w:rPr>
            </w:pPr>
            <w:r>
              <w:rPr>
                <w:rFonts w:hint="eastAsia"/>
                <w:b/>
                <w:bCs/>
                <w:szCs w:val="21"/>
              </w:rPr>
              <w:t>三、商务部分</w:t>
            </w:r>
          </w:p>
        </w:tc>
        <w:tc>
          <w:tcPr>
            <w:tcW w:w="1187" w:type="dxa"/>
            <w:vAlign w:val="center"/>
          </w:tcPr>
          <w:p>
            <w:pPr>
              <w:autoSpaceDE w:val="0"/>
              <w:autoSpaceDN w:val="0"/>
              <w:jc w:val="center"/>
              <w:rPr>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商务需求条款偏离情况</w:t>
            </w:r>
          </w:p>
        </w:tc>
        <w:tc>
          <w:tcPr>
            <w:tcW w:w="709" w:type="dxa"/>
            <w:vAlign w:val="center"/>
          </w:tcPr>
          <w:p>
            <w:pPr>
              <w:jc w:val="center"/>
              <w:rPr>
                <w:szCs w:val="21"/>
              </w:rPr>
            </w:pPr>
            <w:r>
              <w:rPr>
                <w:rFonts w:hint="eastAsia"/>
                <w:szCs w:val="21"/>
              </w:rPr>
              <w:t>4</w:t>
            </w:r>
          </w:p>
        </w:tc>
        <w:tc>
          <w:tcPr>
            <w:tcW w:w="5953" w:type="dxa"/>
            <w:vAlign w:val="center"/>
          </w:tcPr>
          <w:p>
            <w:pPr>
              <w:autoSpaceDE w:val="0"/>
              <w:autoSpaceDN w:val="0"/>
              <w:jc w:val="left"/>
              <w:rPr>
                <w:szCs w:val="21"/>
              </w:rPr>
            </w:pPr>
            <w:r>
              <w:rPr>
                <w:rFonts w:hint="eastAsia"/>
                <w:szCs w:val="21"/>
              </w:rPr>
              <w:t>投标人应如实填写《商务条款偏离表》，评审委员会根据服务条款响应情况进行评审：</w:t>
            </w:r>
          </w:p>
          <w:p>
            <w:pPr>
              <w:jc w:val="left"/>
              <w:rPr>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同类项目业绩情况</w:t>
            </w:r>
          </w:p>
        </w:tc>
        <w:tc>
          <w:tcPr>
            <w:tcW w:w="709" w:type="dxa"/>
            <w:vAlign w:val="center"/>
          </w:tcPr>
          <w:p>
            <w:pPr>
              <w:jc w:val="center"/>
              <w:rPr>
                <w:szCs w:val="21"/>
              </w:rPr>
            </w:pPr>
            <w:r>
              <w:rPr>
                <w:rFonts w:hint="eastAsia"/>
                <w:szCs w:val="21"/>
              </w:rPr>
              <w:t>4</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rPr>
                <w:szCs w:val="21"/>
              </w:rPr>
            </w:pPr>
            <w:r>
              <w:rPr>
                <w:rFonts w:hint="eastAsia"/>
                <w:szCs w:val="21"/>
              </w:rPr>
              <w:t>自2021年10月1日至本项目投标截止日，（以合同签订日期为准）投标人具有荧光定量PCR仪（数字PCR仪）产品销售业绩的，每提供1个项目得1分，最高得4分。</w:t>
            </w:r>
          </w:p>
          <w:p>
            <w:pPr>
              <w:autoSpaceDE w:val="0"/>
              <w:autoSpaceDN w:val="0"/>
              <w:jc w:val="left"/>
              <w:rPr>
                <w:szCs w:val="21"/>
              </w:rPr>
            </w:pPr>
            <w:r>
              <w:rPr>
                <w:rFonts w:hint="eastAsia"/>
                <w:szCs w:val="21"/>
              </w:rPr>
              <w:t>（二）评分依据：</w:t>
            </w:r>
          </w:p>
          <w:p>
            <w:pPr>
              <w:rPr>
                <w:szCs w:val="21"/>
              </w:rPr>
            </w:pPr>
            <w:r>
              <w:rPr>
                <w:rFonts w:hint="eastAsia"/>
                <w:szCs w:val="21"/>
              </w:rPr>
              <w:t>1. 提供合同关键页且各项信息不得有任何遮挡；</w:t>
            </w:r>
          </w:p>
          <w:p>
            <w:pPr>
              <w:rPr>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3</w:t>
            </w:r>
          </w:p>
        </w:tc>
        <w:tc>
          <w:tcPr>
            <w:tcW w:w="1143" w:type="dxa"/>
            <w:vAlign w:val="center"/>
          </w:tcPr>
          <w:p>
            <w:pPr>
              <w:jc w:val="center"/>
              <w:rPr>
                <w:szCs w:val="21"/>
              </w:rPr>
            </w:pPr>
            <w:r>
              <w:rPr>
                <w:rFonts w:hint="eastAsia"/>
                <w:szCs w:val="21"/>
              </w:rPr>
              <w:t>相关认证情况</w:t>
            </w:r>
          </w:p>
        </w:tc>
        <w:tc>
          <w:tcPr>
            <w:tcW w:w="709" w:type="dxa"/>
            <w:vAlign w:val="center"/>
          </w:tcPr>
          <w:p>
            <w:pPr>
              <w:jc w:val="center"/>
              <w:rPr>
                <w:szCs w:val="21"/>
              </w:rPr>
            </w:pPr>
            <w:r>
              <w:rPr>
                <w:rFonts w:hint="eastAsia"/>
                <w:szCs w:val="21"/>
              </w:rPr>
              <w:t>2</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autoSpaceDE w:val="0"/>
              <w:autoSpaceDN w:val="0"/>
              <w:jc w:val="left"/>
              <w:rPr>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szCs w:val="21"/>
              </w:rPr>
            </w:pPr>
            <w:r>
              <w:rPr>
                <w:rFonts w:hint="eastAsia"/>
                <w:szCs w:val="21"/>
              </w:rPr>
              <w:t>（二）评分依据：</w:t>
            </w:r>
          </w:p>
          <w:p>
            <w:pPr>
              <w:autoSpaceDE w:val="0"/>
              <w:autoSpaceDN w:val="0"/>
              <w:jc w:val="left"/>
              <w:rPr>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bl>
    <w:p>
      <w:pPr>
        <w:jc w:val="center"/>
        <w:rPr>
          <w:b/>
          <w:bCs/>
        </w:rPr>
      </w:pPr>
    </w:p>
    <w:p>
      <w:pPr>
        <w:tabs>
          <w:tab w:val="clear" w:pos="426"/>
        </w:tabs>
        <w:spacing w:line="240" w:lineRule="auto"/>
      </w:pPr>
      <w:r>
        <w:rPr>
          <w:rFonts w:hint="eastAsia"/>
        </w:rPr>
        <w:t>备注：</w:t>
      </w:r>
    </w:p>
    <w:p>
      <w:pPr>
        <w:tabs>
          <w:tab w:val="clear" w:pos="426"/>
        </w:tabs>
        <w:spacing w:line="240" w:lineRule="auto"/>
        <w:ind w:firstLine="420" w:firstLineChars="200"/>
      </w:pPr>
      <w:r>
        <w:rPr>
          <w:rFonts w:hint="eastAsia"/>
        </w:rPr>
        <w:t>1. 缺项则该项为0分或不合格为0分。</w:t>
      </w:r>
    </w:p>
    <w:p>
      <w:pPr>
        <w:tabs>
          <w:tab w:val="clear" w:pos="426"/>
        </w:tabs>
        <w:spacing w:line="240" w:lineRule="auto"/>
        <w:ind w:firstLine="420" w:firstLineChars="200"/>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pPr>
      <w:r>
        <w:rPr>
          <w:rFonts w:hint="eastAsia"/>
        </w:rPr>
        <w:t>4. 客观评分项，所有评审专家应当统一打分分值；主观评分项，评审专家应当按照打分标准独立打分。</w:t>
      </w:r>
    </w:p>
    <w:p/>
    <w:p/>
    <w:p>
      <w:r>
        <w:rPr>
          <w:rFonts w:hint="eastAsia"/>
        </w:rPr>
        <w:br w:type="page"/>
      </w:r>
    </w:p>
    <w:p>
      <w:pPr>
        <w:pStyle w:val="62"/>
      </w:pPr>
      <w:bookmarkStart w:id="67" w:name="_Toc26041"/>
      <w:r>
        <w:rPr>
          <w:rFonts w:hint="eastAsia"/>
        </w:rPr>
        <w:t>前附表（四）</w:t>
      </w:r>
      <w:bookmarkEnd w:id="67"/>
    </w:p>
    <w:p>
      <w:pPr>
        <w:adjustRightInd/>
        <w:snapToGrid/>
        <w:spacing w:before="280" w:after="290" w:line="377" w:lineRule="auto"/>
        <w:jc w:val="left"/>
        <w:outlineLvl w:val="2"/>
        <w:rPr>
          <w:b/>
          <w:sz w:val="24"/>
        </w:rPr>
      </w:pPr>
      <w:bookmarkStart w:id="68" w:name="_Toc12567"/>
      <w:r>
        <w:rPr>
          <w:rFonts w:hint="eastAsia"/>
          <w:b/>
          <w:sz w:val="24"/>
        </w:rPr>
        <w:t>1.资格审查</w:t>
      </w:r>
      <w:bookmarkEnd w:id="68"/>
    </w:p>
    <w:p>
      <w:pPr>
        <w:tabs>
          <w:tab w:val="clear" w:pos="426"/>
        </w:tabs>
        <w:spacing w:line="300" w:lineRule="auto"/>
        <w:ind w:firstLine="420" w:firstLineChars="200"/>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b/>
          <w:sz w:val="24"/>
        </w:rPr>
      </w:pPr>
      <w:bookmarkStart w:id="69" w:name="_Toc1724"/>
      <w:r>
        <w:rPr>
          <w:rFonts w:hint="eastAsia"/>
          <w:b/>
          <w:sz w:val="24"/>
        </w:rPr>
        <w:t>2.评标方法</w:t>
      </w:r>
      <w:bookmarkEnd w:id="69"/>
    </w:p>
    <w:p>
      <w:pPr>
        <w:tabs>
          <w:tab w:val="clear" w:pos="426"/>
        </w:tabs>
        <w:spacing w:line="300" w:lineRule="auto"/>
        <w:ind w:firstLine="420" w:firstLineChars="200"/>
      </w:pPr>
      <w:r>
        <w:rPr>
          <w:rFonts w:hint="eastAsia"/>
        </w:rPr>
        <w:t>2.1本项目评标方法为：综合评分法</w:t>
      </w:r>
    </w:p>
    <w:p>
      <w:pPr>
        <w:tabs>
          <w:tab w:val="clear" w:pos="426"/>
        </w:tabs>
        <w:spacing w:line="300" w:lineRule="auto"/>
        <w:ind w:firstLine="422" w:firstLineChars="200"/>
        <w:rPr>
          <w:b/>
          <w:bCs/>
        </w:rPr>
      </w:pPr>
      <w:r>
        <w:rPr>
          <w:rFonts w:hint="eastAsia"/>
          <w:b/>
          <w:bCs/>
        </w:rPr>
        <w:t>（1）本项目共2个包，包划分详见招标文件第二章项目需求-一、货物清单一览表。</w:t>
      </w:r>
    </w:p>
    <w:p>
      <w:pPr>
        <w:tabs>
          <w:tab w:val="clear" w:pos="426"/>
        </w:tabs>
        <w:spacing w:line="300" w:lineRule="auto"/>
        <w:ind w:firstLine="422" w:firstLineChars="200"/>
        <w:rPr>
          <w:b/>
          <w:bCs/>
        </w:rPr>
      </w:pPr>
      <w:r>
        <w:rPr>
          <w:rFonts w:hint="eastAsia"/>
          <w:b/>
          <w:bCs/>
        </w:rPr>
        <w:t>（2）本项目通过公开招标每包确定1家中标供应商，投标供应商可选择1个包或2个包进行投标响应。</w:t>
      </w:r>
    </w:p>
    <w:p>
      <w:pPr>
        <w:tabs>
          <w:tab w:val="clear" w:pos="426"/>
        </w:tabs>
        <w:spacing w:line="300" w:lineRule="auto"/>
        <w:ind w:firstLine="422" w:firstLineChars="200"/>
        <w:rPr>
          <w:b/>
          <w:bCs/>
        </w:rPr>
      </w:pPr>
      <w:r>
        <w:rPr>
          <w:rFonts w:hint="eastAsia"/>
          <w:b/>
          <w:bCs/>
        </w:rPr>
        <w:t>（3）评标委员会依次评审01包、02包。</w:t>
      </w:r>
    </w:p>
    <w:p>
      <w:pPr>
        <w:tabs>
          <w:tab w:val="clear" w:pos="426"/>
        </w:tabs>
        <w:spacing w:line="300" w:lineRule="auto"/>
        <w:ind w:firstLine="422" w:firstLineChars="200"/>
        <w:rPr>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tabs>
          <w:tab w:val="clear" w:pos="426"/>
        </w:tabs>
        <w:spacing w:line="300" w:lineRule="auto"/>
        <w:ind w:firstLine="422" w:firstLineChars="200"/>
        <w:rPr>
          <w:b/>
          <w:bCs/>
        </w:rPr>
      </w:pPr>
      <w:r>
        <w:rPr>
          <w:rFonts w:hint="eastAsia"/>
          <w:b/>
          <w:bCs/>
        </w:rPr>
        <w:t>（5）根据公开招标竞争性原则，当某个包合格投标供应商数量小于3名时，该包废标，但不影响其他包；当两个包合格投标供应商数量均小于3名时，本项目废标，采购代理机构重新组织采购。</w:t>
      </w:r>
    </w:p>
    <w:p>
      <w:pPr>
        <w:tabs>
          <w:tab w:val="clear" w:pos="426"/>
        </w:tabs>
        <w:spacing w:line="300" w:lineRule="auto"/>
        <w:ind w:firstLine="420" w:firstLineChars="200"/>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pPr>
      <w:r>
        <w:rPr>
          <w:rFonts w:hint="eastAsia"/>
        </w:rPr>
        <w:t>2.3价格分计算方法</w:t>
      </w:r>
    </w:p>
    <w:p>
      <w:pPr>
        <w:tabs>
          <w:tab w:val="clear" w:pos="426"/>
        </w:tabs>
        <w:spacing w:line="300" w:lineRule="auto"/>
        <w:ind w:firstLine="420" w:firstLineChars="200"/>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pPr>
      <w:r>
        <w:rPr>
          <w:rFonts w:hint="eastAsia"/>
        </w:rPr>
        <w:t>投标报价得分=(评标基准价／投标报价)×30</w:t>
      </w:r>
    </w:p>
    <w:p>
      <w:pPr>
        <w:tabs>
          <w:tab w:val="clear" w:pos="426"/>
        </w:tabs>
        <w:spacing w:line="300" w:lineRule="auto"/>
        <w:ind w:firstLine="420" w:firstLineChars="200"/>
      </w:pPr>
      <w:r>
        <w:rPr>
          <w:rFonts w:hint="eastAsia"/>
        </w:rPr>
        <w:t>2.4评标优惠政策</w:t>
      </w:r>
    </w:p>
    <w:p>
      <w:pPr>
        <w:tabs>
          <w:tab w:val="clear" w:pos="426"/>
        </w:tabs>
        <w:spacing w:line="300" w:lineRule="auto"/>
        <w:ind w:firstLine="422" w:firstLineChars="200"/>
        <w:rPr>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szCs w:val="21"/>
        </w:rPr>
      </w:pPr>
      <w:r>
        <w:rPr>
          <w:rFonts w:hint="eastAsia"/>
          <w:szCs w:val="21"/>
        </w:rPr>
        <w:t>2.5</w:t>
      </w:r>
      <w:r>
        <w:rPr>
          <w:szCs w:val="21"/>
        </w:rPr>
        <w:t>其他需要落实的政府采购政策</w:t>
      </w:r>
    </w:p>
    <w:p>
      <w:pPr>
        <w:tabs>
          <w:tab w:val="clear" w:pos="426"/>
        </w:tabs>
        <w:spacing w:line="300" w:lineRule="auto"/>
        <w:ind w:firstLine="420" w:firstLineChars="200"/>
        <w:rPr>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b/>
          <w:sz w:val="24"/>
        </w:rPr>
      </w:pPr>
      <w:bookmarkStart w:id="70" w:name="_Toc16831"/>
      <w:r>
        <w:rPr>
          <w:rFonts w:hint="eastAsia"/>
          <w:b/>
          <w:sz w:val="24"/>
        </w:rPr>
        <w:t>3.符合性审查</w:t>
      </w:r>
      <w:bookmarkEnd w:id="70"/>
    </w:p>
    <w:p>
      <w:pPr>
        <w:tabs>
          <w:tab w:val="clear" w:pos="426"/>
        </w:tabs>
        <w:spacing w:line="300" w:lineRule="auto"/>
        <w:ind w:firstLine="420" w:firstLineChars="200"/>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b/>
          <w:sz w:val="24"/>
        </w:rPr>
      </w:pPr>
      <w:bookmarkStart w:id="71" w:name="_Toc29518"/>
      <w:r>
        <w:rPr>
          <w:rFonts w:hint="eastAsia"/>
          <w:b/>
          <w:sz w:val="24"/>
        </w:rPr>
        <w:t>4.比较与评价</w:t>
      </w:r>
      <w:bookmarkEnd w:id="71"/>
    </w:p>
    <w:p>
      <w:pPr>
        <w:tabs>
          <w:tab w:val="clear" w:pos="426"/>
        </w:tabs>
        <w:spacing w:line="300" w:lineRule="auto"/>
        <w:ind w:firstLine="420" w:firstLineChars="200"/>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b/>
          <w:sz w:val="24"/>
        </w:rPr>
      </w:pPr>
      <w:bookmarkStart w:id="72" w:name="_Toc13196"/>
      <w:r>
        <w:rPr>
          <w:rFonts w:hint="eastAsia"/>
          <w:b/>
          <w:sz w:val="24"/>
        </w:rPr>
        <w:t>5.编写评标报告</w:t>
      </w:r>
      <w:bookmarkEnd w:id="72"/>
    </w:p>
    <w:p>
      <w:pPr>
        <w:tabs>
          <w:tab w:val="clear" w:pos="426"/>
        </w:tabs>
        <w:spacing w:line="300" w:lineRule="auto"/>
        <w:ind w:firstLine="420" w:firstLineChars="200"/>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b/>
          <w:sz w:val="24"/>
        </w:rPr>
      </w:pPr>
      <w:bookmarkStart w:id="73" w:name="_Toc15875"/>
      <w:r>
        <w:rPr>
          <w:rFonts w:hint="eastAsia"/>
          <w:b/>
          <w:sz w:val="24"/>
        </w:rPr>
        <w:t>6.评标委员会对招标失败的论证意见</w:t>
      </w:r>
      <w:bookmarkEnd w:id="73"/>
    </w:p>
    <w:p>
      <w:pPr>
        <w:tabs>
          <w:tab w:val="clear" w:pos="426"/>
        </w:tabs>
        <w:spacing w:line="300" w:lineRule="auto"/>
        <w:ind w:firstLine="422" w:firstLineChars="200"/>
        <w:rPr>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5"/>
      <w:bookmarkStart w:id="74" w:name="_Toc432592812"/>
    </w:p>
    <w:bookmarkEnd w:id="74"/>
    <w:p>
      <w:bookmarkStart w:id="75" w:name="_Toc432592814"/>
      <w:r>
        <w:br w:type="page"/>
      </w:r>
      <w:bookmarkEnd w:id="75"/>
      <w:bookmarkStart w:id="76" w:name="_Toc530152519"/>
      <w:bookmarkStart w:id="77" w:name="_Toc432592816"/>
      <w:bookmarkStart w:id="78" w:name="_Toc398220525"/>
    </w:p>
    <w:bookmarkEnd w:id="76"/>
    <w:p>
      <w:pPr>
        <w:pStyle w:val="62"/>
      </w:pPr>
      <w:bookmarkStart w:id="79" w:name="_Toc7991"/>
      <w:r>
        <w:rPr>
          <w:rFonts w:hint="eastAsia"/>
        </w:rPr>
        <w:t>第五章 合同文本</w:t>
      </w:r>
      <w:bookmarkEnd w:id="79"/>
    </w:p>
    <w:bookmarkEnd w:id="77"/>
    <w:bookmarkEnd w:id="78"/>
    <w:p>
      <w:pPr>
        <w:pStyle w:val="425"/>
        <w:rPr>
          <w:rFonts w:hAnsi="宋体"/>
          <w:b/>
          <w:bCs/>
          <w:sz w:val="28"/>
          <w:szCs w:val="28"/>
        </w:rPr>
      </w:pPr>
      <w:bookmarkStart w:id="80" w:name="_Toc398220526"/>
      <w:bookmarkStart w:id="81" w:name="_Toc432592818"/>
      <w:r>
        <w:rPr>
          <w:rFonts w:hint="eastAsia" w:hAnsi="宋体"/>
          <w:b/>
          <w:bCs/>
          <w:sz w:val="28"/>
          <w:szCs w:val="28"/>
        </w:rPr>
        <w:t>本合同实际签订将根据供应商响应情况对合同进行删减调整</w:t>
      </w:r>
    </w:p>
    <w:p>
      <w:pPr>
        <w:pStyle w:val="425"/>
        <w:rPr>
          <w:rFonts w:hAnsi="宋体"/>
          <w:b/>
          <w:bCs/>
          <w:sz w:val="28"/>
          <w:szCs w:val="28"/>
        </w:rPr>
      </w:pPr>
    </w:p>
    <w:p>
      <w:pPr>
        <w:pStyle w:val="425"/>
        <w:rPr>
          <w:rFonts w:hAnsi="宋体"/>
          <w:b/>
          <w:bCs/>
          <w:sz w:val="28"/>
          <w:szCs w:val="28"/>
        </w:rPr>
      </w:pPr>
      <w:r>
        <w:rPr>
          <w:rFonts w:hint="eastAsia" w:hAnsi="宋体"/>
          <w:b/>
          <w:bCs/>
          <w:sz w:val="28"/>
          <w:szCs w:val="28"/>
        </w:rPr>
        <w:t>01包</w:t>
      </w:r>
    </w:p>
    <w:p>
      <w:pPr>
        <w:pStyle w:val="425"/>
        <w:rPr>
          <w:rFonts w:eastAsia="方正小标宋_GBK"/>
          <w:sz w:val="36"/>
          <w:szCs w:val="36"/>
        </w:rPr>
      </w:pPr>
      <w:r>
        <w:rPr>
          <w:rFonts w:hint="eastAsia" w:eastAsia="方正小标宋_GBK"/>
          <w:sz w:val="36"/>
          <w:szCs w:val="36"/>
        </w:rPr>
        <w:t>深圳海关动植物检验检疫技术中心“荧光PCR仪”设备采购项目</w:t>
      </w:r>
      <w:r>
        <w:rPr>
          <w:rFonts w:eastAsia="方正小标宋_GBK"/>
          <w:sz w:val="36"/>
          <w:szCs w:val="36"/>
        </w:rPr>
        <w:t>合同书</w:t>
      </w:r>
    </w:p>
    <w:p>
      <w:pPr>
        <w:rPr>
          <w:sz w:val="24"/>
        </w:rPr>
      </w:pPr>
    </w:p>
    <w:p>
      <w:pPr>
        <w:rPr>
          <w:sz w:val="24"/>
        </w:rPr>
      </w:pPr>
      <w:r>
        <w:rPr>
          <w:sz w:val="24"/>
        </w:rPr>
        <w:t>甲方（采购人）:</w:t>
      </w:r>
      <w:r>
        <w:rPr>
          <w:rFonts w:hint="eastAsia"/>
          <w:sz w:val="24"/>
        </w:rPr>
        <w:t>深圳海关动植物检验检疫技术中心</w:t>
      </w:r>
    </w:p>
    <w:p>
      <w:pPr>
        <w:rPr>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深圳海关动植物检验检疫技术中心“荧光PCR仪”设备采购项目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sz w:val="24"/>
        </w:rPr>
      </w:pPr>
      <w:r>
        <w:rPr>
          <w:sz w:val="24"/>
        </w:rPr>
        <w:t>（一）本合同以人民币付款。</w:t>
      </w:r>
    </w:p>
    <w:p>
      <w:pPr>
        <w:ind w:firstLine="480" w:firstLineChars="200"/>
        <w:rPr>
          <w:sz w:val="24"/>
        </w:rPr>
      </w:pPr>
      <w:r>
        <w:rPr>
          <w:sz w:val="24"/>
        </w:rPr>
        <w:t>（二）付款办法：</w:t>
      </w:r>
    </w:p>
    <w:p>
      <w:pPr>
        <w:ind w:firstLine="480" w:firstLineChars="200"/>
        <w:rPr>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r>
        <w:rPr>
          <w:rFonts w:hint="eastAsia"/>
          <w:sz w:val="24"/>
        </w:rPr>
        <w:t>（（若增加此进度款条款，一般应预留不低于保证金或保函金额的尾款比例。）</w:t>
      </w:r>
    </w:p>
    <w:p>
      <w:pPr>
        <w:ind w:firstLine="480" w:firstLineChars="200"/>
        <w:rPr>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sz w:val="24"/>
        </w:rPr>
      </w:pPr>
      <w:r>
        <w:rPr>
          <w:sz w:val="24"/>
        </w:rPr>
        <w:t>3.设备全部安装调试，并经甲方（用户）验收合格后，乙方向甲方提交下列单据之日起</w:t>
      </w:r>
      <w:r>
        <w:rPr>
          <w:rFonts w:hint="eastAsia"/>
          <w:sz w:val="24"/>
        </w:rPr>
        <w:t>30</w:t>
      </w:r>
      <w:r>
        <w:rPr>
          <w:sz w:val="24"/>
        </w:rPr>
        <w:t>日内，甲方向乙方</w:t>
      </w:r>
      <w:bookmarkStart w:id="82" w:name="_Hlk180274859"/>
      <w:r>
        <w:rPr>
          <w:rFonts w:hint="eastAsia"/>
          <w:sz w:val="24"/>
        </w:rPr>
        <w:t>无息退还履约保函或保证金</w:t>
      </w:r>
      <w:bookmarkEnd w:id="82"/>
      <w:r>
        <w:rPr>
          <w:sz w:val="24"/>
        </w:rPr>
        <w:t>。</w:t>
      </w:r>
    </w:p>
    <w:p>
      <w:pPr>
        <w:ind w:firstLine="480" w:firstLineChars="200"/>
        <w:rPr>
          <w:sz w:val="24"/>
        </w:rPr>
      </w:pPr>
      <w:r>
        <w:rPr>
          <w:rFonts w:hint="eastAsia"/>
          <w:sz w:val="24"/>
        </w:rPr>
        <w:t>乙方提交单据：</w:t>
      </w:r>
      <w:bookmarkStart w:id="83" w:name="_Hlk180274877"/>
      <w:r>
        <w:rPr>
          <w:rFonts w:hint="eastAsia"/>
          <w:sz w:val="24"/>
        </w:rPr>
        <w:t>退还申请（原件）、</w:t>
      </w:r>
      <w:bookmarkEnd w:id="83"/>
      <w:r>
        <w:rPr>
          <w:rFonts w:hint="eastAsia"/>
          <w:sz w:val="24"/>
        </w:rPr>
        <w:t>安装调试验收合格报告（复印件）</w:t>
      </w:r>
      <w:r>
        <w:rPr>
          <w:sz w:val="24"/>
        </w:rPr>
        <w:t>。</w:t>
      </w:r>
    </w:p>
    <w:p>
      <w:pPr>
        <w:ind w:firstLine="480" w:firstLineChars="200"/>
        <w:rPr>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spacing w:after="231"/>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sz w:val="24"/>
        </w:rPr>
      </w:pPr>
      <w:r>
        <w:rPr>
          <w:sz w:val="24"/>
        </w:rPr>
        <w:t>（三）如乙方未能履行合同规定的义务，甲方有权按照本合同的约定从履约保证金中进行相应扣除。乙方应在甲方扣除履约保证金之日起10个工作日内，及时补充扣除部分金额。</w:t>
      </w:r>
    </w:p>
    <w:p>
      <w:pPr>
        <w:ind w:firstLine="480" w:firstLineChars="200"/>
        <w:rPr>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sz w:val="24"/>
        </w:rPr>
      </w:pPr>
      <w:r>
        <w:rPr>
          <w:sz w:val="24"/>
        </w:rPr>
        <w:t>（三）乙方应承担由于其包装或防护措施不当而引起的货物损坏和丢失的任何损失责任和费用。</w:t>
      </w:r>
    </w:p>
    <w:p>
      <w:pPr>
        <w:ind w:firstLine="482" w:firstLineChars="200"/>
        <w:rPr>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w:t>
      </w:r>
      <w:r>
        <w:rPr>
          <w:rFonts w:hint="eastAsia" w:eastAsia="宋体"/>
          <w:sz w:val="24"/>
          <w:szCs w:val="24"/>
          <w:lang w:val="en-US" w:eastAsia="zh-CN"/>
        </w:rPr>
        <w:t>乙方</w:t>
      </w:r>
      <w:r>
        <w:rPr>
          <w:rFonts w:eastAsia="宋体"/>
          <w:sz w:val="24"/>
          <w:szCs w:val="24"/>
          <w:lang w:eastAsia="zh-TW"/>
        </w:rPr>
        <w:t>应在合同签订之日起</w:t>
      </w:r>
      <w:r>
        <w:rPr>
          <w:rFonts w:hint="eastAsia" w:eastAsia="宋体"/>
          <w:sz w:val="24"/>
          <w:szCs w:val="24"/>
        </w:rPr>
        <w:t>45</w:t>
      </w:r>
      <w:r>
        <w:rPr>
          <w:rFonts w:eastAsia="宋体"/>
          <w:sz w:val="24"/>
          <w:szCs w:val="24"/>
          <w:lang w:eastAsia="zh-TW"/>
        </w:rPr>
        <w:t>个日历日内交付货物并完成安装调试。</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甲方指定地点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为验核货物内在功能是否完备，甲方（用户）有权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sz w:val="24"/>
        </w:rPr>
      </w:pPr>
      <w:r>
        <w:rPr>
          <w:sz w:val="24"/>
        </w:rPr>
        <w:t>（六）本合同项目所有货物质量保证期为：自双方签署设备到货验收签收单/安装调试验收合格报告之日起计算</w:t>
      </w:r>
      <w:r>
        <w:rPr>
          <w:sz w:val="24"/>
          <w:u w:val="single"/>
        </w:rPr>
        <w:t xml:space="preserve">  </w:t>
      </w:r>
      <w:r>
        <w:rPr>
          <w:rFonts w:hint="eastAsia"/>
          <w:sz w:val="24"/>
          <w:u w:val="single"/>
        </w:rPr>
        <w:t>2</w:t>
      </w:r>
      <w:r>
        <w:rPr>
          <w:sz w:val="24"/>
          <w:u w:val="single"/>
        </w:rPr>
        <w:t xml:space="preserve">  </w:t>
      </w:r>
      <w:r>
        <w:rPr>
          <w:sz w:val="24"/>
        </w:rPr>
        <w:t>年。</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p>
    <w:p>
      <w:pPr>
        <w:ind w:firstLine="482" w:firstLineChars="200"/>
        <w:rPr>
          <w:b/>
          <w:bCs/>
          <w:sz w:val="24"/>
        </w:rPr>
      </w:pPr>
      <w:r>
        <w:rPr>
          <w:b/>
          <w:bCs/>
          <w:sz w:val="24"/>
        </w:rPr>
        <w:t>第九条 培训</w:t>
      </w:r>
    </w:p>
    <w:p>
      <w:pPr>
        <w:ind w:firstLine="480" w:firstLineChars="200"/>
        <w:rPr>
          <w:b/>
          <w:bCs/>
          <w:sz w:val="24"/>
        </w:rPr>
      </w:pPr>
      <w:r>
        <w:rPr>
          <w:bCs/>
          <w:sz w:val="24"/>
        </w:rPr>
        <w:t>本合同所包括的培训详见附件培训方案。</w:t>
      </w:r>
    </w:p>
    <w:p>
      <w:pPr>
        <w:ind w:firstLine="482" w:firstLineChars="200"/>
        <w:rPr>
          <w:b/>
          <w:bCs/>
          <w:sz w:val="24"/>
        </w:rPr>
      </w:pPr>
      <w:r>
        <w:rPr>
          <w:b/>
          <w:bCs/>
          <w:sz w:val="24"/>
        </w:rPr>
        <w:t>第十条 售后服务</w:t>
      </w:r>
    </w:p>
    <w:p>
      <w:pPr>
        <w:ind w:firstLine="480" w:firstLineChars="200"/>
        <w:rPr>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2 </w:t>
      </w:r>
      <w:r>
        <w:rPr>
          <w:sz w:val="24"/>
        </w:rPr>
        <w:t>小时内响应，保证_</w:t>
      </w:r>
      <w:r>
        <w:rPr>
          <w:rFonts w:hint="eastAsia"/>
          <w:sz w:val="24"/>
          <w:u w:val="single"/>
        </w:rPr>
        <w:t>48</w:t>
      </w:r>
      <w:r>
        <w:rPr>
          <w:sz w:val="24"/>
          <w:u w:val="single"/>
        </w:rPr>
        <w:t>_</w:t>
      </w:r>
      <w:r>
        <w:rPr>
          <w:sz w:val="24"/>
        </w:rPr>
        <w:t>_小时内到达现场并解决故障</w:t>
      </w:r>
      <w:bookmarkStart w:id="84" w:name="_Hlk180275063"/>
      <w:r>
        <w:rPr>
          <w:rFonts w:hint="eastAsia"/>
          <w:sz w:val="24"/>
        </w:rPr>
        <w:t>（不额外收费）</w:t>
      </w:r>
      <w:bookmarkEnd w:id="84"/>
      <w:r>
        <w:rPr>
          <w:sz w:val="24"/>
        </w:rPr>
        <w:t>。</w:t>
      </w:r>
    </w:p>
    <w:p>
      <w:pPr>
        <w:ind w:firstLine="480" w:firstLineChars="200"/>
        <w:rPr>
          <w:sz w:val="24"/>
        </w:rPr>
      </w:pPr>
      <w:r>
        <w:rPr>
          <w:sz w:val="24"/>
        </w:rPr>
        <w:t>（二）本合同所包含的售后服务，包含制造商售后服务和代理商售后服务，具体见附件技术支持及售后服务方案。</w:t>
      </w:r>
    </w:p>
    <w:p>
      <w:pPr>
        <w:ind w:firstLine="482" w:firstLineChars="200"/>
        <w:rPr>
          <w:b/>
          <w:bCs/>
          <w:sz w:val="24"/>
        </w:rPr>
      </w:pPr>
      <w:r>
        <w:rPr>
          <w:b/>
          <w:bCs/>
          <w:sz w:val="24"/>
        </w:rPr>
        <w:t>第十一条 违约责任</w:t>
      </w:r>
    </w:p>
    <w:p>
      <w:pPr>
        <w:ind w:firstLine="480" w:firstLineChars="200"/>
        <w:rPr>
          <w:sz w:val="24"/>
        </w:rPr>
      </w:pPr>
      <w:r>
        <w:rPr>
          <w:sz w:val="24"/>
        </w:rPr>
        <w:t>（一）因乙方原因未能按照本合同要求交付合格的货物或提供相关服务的违约责任。</w:t>
      </w:r>
    </w:p>
    <w:p>
      <w:pPr>
        <w:ind w:firstLine="480" w:firstLineChars="200"/>
        <w:rPr>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sz w:val="24"/>
        </w:rPr>
      </w:pPr>
      <w:r>
        <w:rPr>
          <w:sz w:val="24"/>
        </w:rPr>
        <w:t>（1）退货：甲方将货物退回乙方，乙方将合同货款退还给甲方，并承担由此发生的一切损失和费用。</w:t>
      </w:r>
    </w:p>
    <w:p>
      <w:pPr>
        <w:ind w:firstLine="480" w:firstLineChars="200"/>
        <w:rPr>
          <w:sz w:val="24"/>
        </w:rPr>
      </w:pPr>
      <w:r>
        <w:rPr>
          <w:sz w:val="24"/>
        </w:rPr>
        <w:t>（2）退货重新制作：甲方将货物退回乙方，乙方按照技术标准要求重新制作，并承担由此发生的一切损失和费用。</w:t>
      </w:r>
    </w:p>
    <w:p>
      <w:pPr>
        <w:ind w:firstLine="480" w:firstLineChars="200"/>
        <w:rPr>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b/>
          <w:bCs/>
          <w:sz w:val="24"/>
        </w:rPr>
      </w:pPr>
      <w:r>
        <w:rPr>
          <w:b/>
          <w:bCs/>
          <w:sz w:val="24"/>
        </w:rPr>
        <w:t>第十四条 知识产权</w:t>
      </w:r>
    </w:p>
    <w:p>
      <w:pPr>
        <w:ind w:firstLine="480" w:firstLineChars="200"/>
        <w:rPr>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b/>
          <w:bCs/>
          <w:sz w:val="24"/>
        </w:rPr>
      </w:pPr>
      <w:r>
        <w:rPr>
          <w:b/>
          <w:bCs/>
          <w:sz w:val="24"/>
        </w:rPr>
        <w:t>第十五条 权利瑕疵担保</w:t>
      </w:r>
    </w:p>
    <w:p>
      <w:pPr>
        <w:ind w:firstLine="480" w:firstLineChars="200"/>
        <w:rPr>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b/>
          <w:bCs/>
          <w:sz w:val="24"/>
        </w:rPr>
      </w:pPr>
      <w:r>
        <w:rPr>
          <w:b/>
          <w:bCs/>
          <w:sz w:val="24"/>
        </w:rPr>
        <w:t>第十六条 不可抗力及其免责</w:t>
      </w:r>
    </w:p>
    <w:p>
      <w:pPr>
        <w:ind w:firstLine="480" w:firstLineChars="200"/>
        <w:rPr>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sz w:val="24"/>
        </w:rPr>
      </w:pPr>
      <w:r>
        <w:rPr>
          <w:sz w:val="24"/>
        </w:rPr>
        <w:t>（三）乙方在延迟履行合同期间由于不可抗力而不能履行合同的，不能被免除责任。</w:t>
      </w:r>
    </w:p>
    <w:p>
      <w:pPr>
        <w:ind w:firstLine="480" w:firstLineChars="200"/>
        <w:rPr>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b/>
          <w:bCs/>
          <w:sz w:val="24"/>
        </w:rPr>
      </w:pPr>
      <w:r>
        <w:rPr>
          <w:b/>
          <w:bCs/>
          <w:sz w:val="24"/>
        </w:rPr>
        <w:t>第十七条 争议的解决</w:t>
      </w:r>
    </w:p>
    <w:p>
      <w:pPr>
        <w:ind w:firstLine="480" w:firstLineChars="200"/>
        <w:rPr>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b/>
          <w:bCs/>
          <w:sz w:val="24"/>
        </w:rPr>
      </w:pPr>
      <w:r>
        <w:rPr>
          <w:b/>
          <w:bCs/>
          <w:sz w:val="24"/>
        </w:rPr>
        <w:t>第十八条 合同修改或变更</w:t>
      </w:r>
    </w:p>
    <w:p>
      <w:pPr>
        <w:ind w:firstLine="480" w:firstLineChars="200"/>
        <w:rPr>
          <w:sz w:val="24"/>
        </w:rPr>
      </w:pPr>
      <w:r>
        <w:rPr>
          <w:sz w:val="24"/>
        </w:rPr>
        <w:t>（一）如无重大变故，甲乙双方不得擅自变更合同。</w:t>
      </w:r>
    </w:p>
    <w:p>
      <w:pPr>
        <w:ind w:firstLine="480" w:firstLineChars="200"/>
        <w:rPr>
          <w:sz w:val="24"/>
        </w:rPr>
      </w:pPr>
      <w:r>
        <w:rPr>
          <w:sz w:val="24"/>
        </w:rPr>
        <w:t>（二）如确需变更合同，甲乙双方应签署书面变更协议。变更协议为本合同不可分割的一部分。</w:t>
      </w:r>
    </w:p>
    <w:p>
      <w:pPr>
        <w:ind w:firstLine="480" w:firstLineChars="200"/>
        <w:rPr>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b/>
          <w:bCs/>
          <w:sz w:val="24"/>
        </w:rPr>
      </w:pPr>
      <w:r>
        <w:rPr>
          <w:b/>
          <w:bCs/>
          <w:sz w:val="24"/>
        </w:rPr>
        <w:t>第十九条 合同中止</w:t>
      </w:r>
    </w:p>
    <w:p>
      <w:pPr>
        <w:ind w:firstLine="480" w:firstLineChars="200"/>
        <w:rPr>
          <w:sz w:val="24"/>
        </w:rPr>
      </w:pPr>
      <w:r>
        <w:rPr>
          <w:sz w:val="24"/>
        </w:rPr>
        <w:t>（一）合同在履行过程中，因采购计划调整，甲方（用户）可以要求中止履行，待计划确定后继续履行。</w:t>
      </w:r>
    </w:p>
    <w:p>
      <w:pPr>
        <w:ind w:firstLine="480" w:firstLineChars="200"/>
        <w:rPr>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b/>
          <w:bCs/>
          <w:sz w:val="24"/>
        </w:rPr>
      </w:pPr>
      <w:r>
        <w:rPr>
          <w:b/>
          <w:bCs/>
          <w:sz w:val="24"/>
        </w:rPr>
        <w:t>第二十条 合同解除</w:t>
      </w:r>
    </w:p>
    <w:p>
      <w:pPr>
        <w:ind w:firstLine="480" w:firstLineChars="200"/>
        <w:rPr>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sz w:val="24"/>
        </w:rPr>
      </w:pPr>
      <w:r>
        <w:rPr>
          <w:sz w:val="24"/>
        </w:rPr>
        <w:t>（一）因违约解除合同</w:t>
      </w:r>
    </w:p>
    <w:p>
      <w:pPr>
        <w:ind w:firstLine="480" w:firstLineChars="200"/>
        <w:rPr>
          <w:sz w:val="24"/>
        </w:rPr>
      </w:pPr>
      <w:r>
        <w:rPr>
          <w:sz w:val="24"/>
        </w:rPr>
        <w:t>1.在甲方（用户）对乙方违约而采取的任何补救措施不受影响的情况下，甲方（用户）可向乙方发出书面违约通知书，提出解除部分或全部合同：</w:t>
      </w:r>
    </w:p>
    <w:p>
      <w:pPr>
        <w:ind w:firstLine="480" w:firstLineChars="200"/>
        <w:rPr>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sz w:val="24"/>
        </w:rPr>
      </w:pPr>
      <w:r>
        <w:rPr>
          <w:sz w:val="24"/>
        </w:rPr>
        <w:t>（3）如果乙方未能履行合同规定的其他任何义务。</w:t>
      </w:r>
    </w:p>
    <w:p>
      <w:pPr>
        <w:ind w:firstLine="480" w:firstLineChars="200"/>
        <w:rPr>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sz w:val="24"/>
        </w:rPr>
      </w:pPr>
      <w:r>
        <w:rPr>
          <w:sz w:val="24"/>
        </w:rPr>
        <w:t>（二）因破产而解除合同</w:t>
      </w:r>
    </w:p>
    <w:p>
      <w:pPr>
        <w:ind w:firstLine="480" w:firstLineChars="200"/>
        <w:rPr>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sz w:val="24"/>
        </w:rPr>
      </w:pPr>
      <w:r>
        <w:rPr>
          <w:sz w:val="24"/>
        </w:rPr>
        <w:t>2.该解除合同将不损害或影响甲方已经采取或将要采取的任何行动或补救措施的权利。</w:t>
      </w:r>
    </w:p>
    <w:p>
      <w:pPr>
        <w:ind w:firstLine="480" w:firstLineChars="200"/>
        <w:rPr>
          <w:sz w:val="24"/>
        </w:rPr>
      </w:pPr>
      <w:r>
        <w:rPr>
          <w:sz w:val="24"/>
        </w:rPr>
        <w:t>（三）其他解除合同情况</w:t>
      </w:r>
    </w:p>
    <w:p>
      <w:pPr>
        <w:ind w:firstLine="480" w:firstLineChars="200"/>
        <w:rPr>
          <w:sz w:val="24"/>
        </w:rPr>
      </w:pPr>
      <w:r>
        <w:rPr>
          <w:sz w:val="24"/>
        </w:rPr>
        <w:t>1.若合同继续履行将给甲方造成重大损失的，甲方（用户）可以解除合同而不给予乙方任何补偿。</w:t>
      </w:r>
    </w:p>
    <w:p>
      <w:pPr>
        <w:ind w:firstLine="480" w:firstLineChars="200"/>
        <w:rPr>
          <w:sz w:val="24"/>
        </w:rPr>
      </w:pPr>
      <w:r>
        <w:rPr>
          <w:sz w:val="24"/>
        </w:rPr>
        <w:t>2.乙方在执行合同的过程中发生重大变故，对履行合同有影响的，甲方（用户）可以解除合同而不给予乙方任何补偿。</w:t>
      </w:r>
    </w:p>
    <w:p>
      <w:pPr>
        <w:ind w:firstLine="480" w:firstLineChars="200"/>
        <w:rPr>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85" w:name="孔子"/>
      <w:bookmarkEnd w:id="85"/>
      <w:r>
        <w:rPr>
          <w:snapToGrid w:val="0"/>
          <w:kern w:val="0"/>
          <w:sz w:val="24"/>
          <w:szCs w:val="24"/>
        </w:rPr>
        <w:t>（二）对本合同终止有过错的一方应赔偿另一方因合同终止而受到的损失。</w:t>
      </w:r>
    </w:p>
    <w:p>
      <w:pPr>
        <w:ind w:firstLine="482" w:firstLineChars="200"/>
        <w:rPr>
          <w:b/>
          <w:bCs/>
          <w:sz w:val="24"/>
        </w:rPr>
      </w:pPr>
      <w:r>
        <w:rPr>
          <w:b/>
          <w:bCs/>
          <w:sz w:val="24"/>
        </w:rPr>
        <w:t>第二十二条 其他</w:t>
      </w:r>
    </w:p>
    <w:p>
      <w:pPr>
        <w:ind w:firstLine="480" w:firstLineChars="200"/>
        <w:rPr>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b/>
          <w:bCs/>
          <w:sz w:val="24"/>
        </w:rPr>
      </w:pPr>
      <w:r>
        <w:rPr>
          <w:b/>
          <w:bCs/>
          <w:sz w:val="24"/>
        </w:rPr>
        <w:t>第二十四条 合同生效</w:t>
      </w:r>
    </w:p>
    <w:p>
      <w:pPr>
        <w:ind w:firstLine="480" w:firstLineChars="200"/>
        <w:rPr>
          <w:sz w:val="24"/>
        </w:rPr>
      </w:pPr>
      <w:r>
        <w:rPr>
          <w:sz w:val="24"/>
        </w:rPr>
        <w:t>本合同一式___份，甲方执___份，乙方执___份；自甲乙双方签字盖章之日起生效。对本合同的任何更改及补充，均需双方共同协商，并以书面形式盖章确认。</w:t>
      </w:r>
    </w:p>
    <w:p>
      <w:pPr>
        <w:rPr>
          <w:sz w:val="24"/>
        </w:rPr>
      </w:pPr>
    </w:p>
    <w:p>
      <w:pPr>
        <w:rPr>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sz w:val="24"/>
        </w:rPr>
      </w:pPr>
      <w:r>
        <w:rPr>
          <w:sz w:val="24"/>
        </w:rPr>
        <w:t xml:space="preserve">日期： 年  月  日                 日期：   年   月   日    </w:t>
      </w:r>
    </w:p>
    <w:p>
      <w:pPr>
        <w:rPr>
          <w:sz w:val="24"/>
        </w:rPr>
      </w:pPr>
      <w:r>
        <w:rPr>
          <w:sz w:val="24"/>
        </w:rPr>
        <w:t>联系人:                           联系人：</w:t>
      </w:r>
    </w:p>
    <w:p>
      <w:pPr>
        <w:rPr>
          <w:sz w:val="24"/>
        </w:rPr>
      </w:pPr>
      <w:r>
        <w:rPr>
          <w:sz w:val="24"/>
        </w:rPr>
        <w:t>电话:                             电话：</w:t>
      </w:r>
    </w:p>
    <w:p>
      <w:pPr>
        <w:rPr>
          <w:sz w:val="24"/>
        </w:rPr>
      </w:pPr>
      <w:r>
        <w:rPr>
          <w:sz w:val="24"/>
        </w:rPr>
        <w:t>地址：                            地址：</w:t>
      </w:r>
    </w:p>
    <w:p>
      <w:pPr>
        <w:rPr>
          <w:sz w:val="24"/>
        </w:rPr>
      </w:pPr>
      <w:r>
        <w:rPr>
          <w:rFonts w:hint="eastAsia"/>
          <w:sz w:val="24"/>
        </w:rPr>
        <w:br w:type="page"/>
      </w: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rFonts w:hint="eastAsia"/>
          <w:bCs/>
          <w:sz w:val="24"/>
        </w:rPr>
        <w:t>附件3：技术支持及售后服务方案</w:t>
      </w:r>
    </w:p>
    <w:p>
      <w:pPr>
        <w:rPr>
          <w:rFonts w:eastAsia="方正小标宋_GBK"/>
          <w:sz w:val="36"/>
          <w:szCs w:val="36"/>
        </w:rPr>
      </w:pPr>
      <w:r>
        <w:rPr>
          <w:rFonts w:hint="eastAsia" w:eastAsia="方正小标宋_GBK"/>
          <w:sz w:val="36"/>
          <w:szCs w:val="36"/>
        </w:rPr>
        <w:br w:type="page"/>
      </w:r>
    </w:p>
    <w:p>
      <w:pPr>
        <w:pStyle w:val="425"/>
        <w:rPr>
          <w:rFonts w:eastAsia="方正小标宋_GBK"/>
          <w:sz w:val="36"/>
          <w:szCs w:val="36"/>
        </w:rPr>
      </w:pPr>
      <w:r>
        <w:rPr>
          <w:rFonts w:hint="eastAsia" w:eastAsia="方正小标宋_GBK"/>
          <w:sz w:val="36"/>
          <w:szCs w:val="36"/>
        </w:rPr>
        <w:t>02包</w:t>
      </w:r>
    </w:p>
    <w:p>
      <w:pPr>
        <w:pStyle w:val="425"/>
        <w:rPr>
          <w:rFonts w:eastAsia="方正小标宋_GBK"/>
          <w:sz w:val="36"/>
          <w:szCs w:val="36"/>
        </w:rPr>
      </w:pPr>
      <w:r>
        <w:rPr>
          <w:rFonts w:hint="eastAsia" w:eastAsia="方正小标宋_GBK"/>
          <w:sz w:val="36"/>
          <w:szCs w:val="36"/>
        </w:rPr>
        <w:t>深圳海关动植物检验检疫技术中心“荧光定量PCR仪（数字PCR仪）”设备采购项目</w:t>
      </w:r>
      <w:r>
        <w:rPr>
          <w:rFonts w:eastAsia="方正小标宋_GBK"/>
          <w:sz w:val="36"/>
          <w:szCs w:val="36"/>
        </w:rPr>
        <w:t>合同书</w:t>
      </w:r>
    </w:p>
    <w:p>
      <w:pPr>
        <w:rPr>
          <w:sz w:val="24"/>
        </w:rPr>
      </w:pPr>
    </w:p>
    <w:p>
      <w:pPr>
        <w:rPr>
          <w:sz w:val="24"/>
        </w:rPr>
      </w:pPr>
      <w:r>
        <w:rPr>
          <w:sz w:val="24"/>
        </w:rPr>
        <w:t>甲方（采购人）:</w:t>
      </w:r>
      <w:r>
        <w:rPr>
          <w:rFonts w:hint="eastAsia"/>
          <w:sz w:val="24"/>
        </w:rPr>
        <w:t>深圳海关动植物检验检疫技术中心</w:t>
      </w:r>
    </w:p>
    <w:p>
      <w:pPr>
        <w:rPr>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深圳海关动植物检验检疫技术中心“荧光PCR仪”设备采购项目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sz w:val="24"/>
        </w:rPr>
      </w:pPr>
      <w:r>
        <w:rPr>
          <w:sz w:val="24"/>
        </w:rPr>
        <w:t>（一）本合同以人民币付款。</w:t>
      </w:r>
    </w:p>
    <w:p>
      <w:pPr>
        <w:ind w:firstLine="480" w:firstLineChars="200"/>
        <w:rPr>
          <w:sz w:val="24"/>
        </w:rPr>
      </w:pPr>
      <w:r>
        <w:rPr>
          <w:sz w:val="24"/>
        </w:rPr>
        <w:t>（二）付款办法：</w:t>
      </w:r>
    </w:p>
    <w:p>
      <w:pPr>
        <w:ind w:firstLine="480" w:firstLineChars="200"/>
        <w:rPr>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乙方提交单据：合同（正文部分复印件）、中标通知书（或成交通知书复印件）、发票（原件）、履约保</w:t>
      </w:r>
      <w:r>
        <w:rPr>
          <w:rFonts w:hint="eastAsia"/>
          <w:sz w:val="24"/>
        </w:rPr>
        <w:t>函或保证金</w:t>
      </w:r>
      <w:r>
        <w:rPr>
          <w:sz w:val="24"/>
        </w:rPr>
        <w:t>单据复印件。</w:t>
      </w:r>
    </w:p>
    <w:p>
      <w:pPr>
        <w:ind w:firstLine="480" w:firstLineChars="200"/>
        <w:rPr>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sz w:val="24"/>
        </w:rPr>
      </w:pPr>
      <w:r>
        <w:rPr>
          <w:rFonts w:hint="eastAsia"/>
          <w:sz w:val="24"/>
        </w:rPr>
        <w:t>乙方提交单据：退还申请（原件）、安装调试验收合格报告（复印件）</w:t>
      </w:r>
      <w:r>
        <w:rPr>
          <w:sz w:val="24"/>
        </w:rPr>
        <w:t>。</w:t>
      </w:r>
    </w:p>
    <w:p>
      <w:pPr>
        <w:ind w:firstLine="480" w:firstLineChars="200"/>
        <w:rPr>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spacing w:after="231"/>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sz w:val="24"/>
        </w:rPr>
      </w:pPr>
      <w:r>
        <w:rPr>
          <w:sz w:val="24"/>
        </w:rPr>
        <w:t>（三）如乙方未能履行合同规定的义务，甲方有权按照本合同的约定从履约保证金中进行相应扣除。乙方应在甲方扣除履约保证金之日起10个工作日内，及时补充扣除部分金额。</w:t>
      </w:r>
    </w:p>
    <w:p>
      <w:pPr>
        <w:ind w:firstLine="480" w:firstLineChars="200"/>
        <w:rPr>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sz w:val="24"/>
        </w:rPr>
      </w:pPr>
      <w:r>
        <w:rPr>
          <w:sz w:val="24"/>
        </w:rPr>
        <w:t>（三）乙方应承担由于其包装或防护措施不当而引起的货物损坏和丢失的任何损失责任和费用。</w:t>
      </w:r>
    </w:p>
    <w:p>
      <w:pPr>
        <w:ind w:firstLine="482" w:firstLineChars="200"/>
        <w:rPr>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w:t>
      </w:r>
      <w:r>
        <w:rPr>
          <w:rFonts w:hint="eastAsia" w:eastAsia="宋体"/>
          <w:sz w:val="24"/>
          <w:szCs w:val="24"/>
          <w:lang w:val="en-US" w:eastAsia="zh-CN"/>
        </w:rPr>
        <w:t>乙方</w:t>
      </w:r>
      <w:r>
        <w:rPr>
          <w:rFonts w:eastAsia="宋体"/>
          <w:sz w:val="24"/>
          <w:szCs w:val="24"/>
        </w:rPr>
        <w:t>应在合同签订之日起</w:t>
      </w:r>
      <w:r>
        <w:rPr>
          <w:rFonts w:hint="eastAsia" w:eastAsia="宋体"/>
          <w:sz w:val="24"/>
          <w:szCs w:val="24"/>
        </w:rPr>
        <w:t>45</w:t>
      </w:r>
      <w:r>
        <w:rPr>
          <w:rFonts w:eastAsia="宋体"/>
          <w:sz w:val="24"/>
          <w:szCs w:val="24"/>
        </w:rPr>
        <w:t>个日历日内交付货物并完成安装调试。</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深圳市福田区福强路1011号深圳海关福强路办公区A栋指定地点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为验核货物内在功能是否完备，甲方（用户）有权组织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sz w:val="24"/>
        </w:rPr>
      </w:pPr>
      <w:r>
        <w:rPr>
          <w:sz w:val="24"/>
        </w:rPr>
        <w:t>（四）在质量保证期内所发现的缺陷，甲方（用户）应尽快以书面形式通知乙方。乙方收到通知后应10日内维修或更换有缺陷的货物或部件</w:t>
      </w:r>
      <w:r>
        <w:rPr>
          <w:rFonts w:hint="eastAsia" w:cs="Times New Roman"/>
          <w:kern w:val="2"/>
          <w:szCs w:val="21"/>
          <w:lang w:eastAsia="zh-TW"/>
        </w:rPr>
        <w:t>（不额外收费）</w:t>
      </w:r>
      <w:r>
        <w:rPr>
          <w:sz w:val="24"/>
        </w:rPr>
        <w:t>。</w:t>
      </w:r>
    </w:p>
    <w:p>
      <w:pPr>
        <w:ind w:firstLine="480" w:firstLineChars="200"/>
        <w:rPr>
          <w:sz w:val="24"/>
        </w:rPr>
      </w:pPr>
      <w:r>
        <w:rPr>
          <w:sz w:val="24"/>
        </w:rPr>
        <w:t>（五）乙方在约定的时间内未能弥补缺陷，甲方（用户）可采取必要的补救措施，但其风险和费用将由乙方承担，甲方（用户）根据合同规定对乙方行使的其他权利不受影响。</w:t>
      </w:r>
    </w:p>
    <w:p>
      <w:pPr>
        <w:widowControl w:val="0"/>
        <w:shd w:val="clear" w:color="auto" w:fill="auto"/>
        <w:tabs>
          <w:tab w:val="clear" w:pos="426"/>
        </w:tabs>
        <w:adjustRightInd/>
        <w:snapToGrid/>
        <w:spacing w:line="240" w:lineRule="auto"/>
        <w:ind w:firstLine="480" w:firstLineChars="200"/>
        <w:rPr>
          <w:rFonts w:cs="Times New Roman"/>
          <w:b/>
          <w:bCs/>
          <w:kern w:val="2"/>
          <w:szCs w:val="21"/>
        </w:rPr>
      </w:pPr>
      <w:r>
        <w:rPr>
          <w:sz w:val="24"/>
        </w:rPr>
        <w:t>（六）本合同项目所有货物质量保证期为：产品安装调试经采购人（用户）验收合格当天起，全机质保期3年，在质保期内，产品因故障停用，质保期相应顺延。质保期外2年内，能更及时地为采购人（用户）提供仪器关键零备件、消耗品等。</w:t>
      </w:r>
    </w:p>
    <w:p>
      <w:pPr>
        <w:ind w:firstLine="482" w:firstLineChars="200"/>
        <w:rPr>
          <w:b/>
          <w:bCs/>
          <w:sz w:val="24"/>
        </w:rPr>
      </w:pPr>
      <w:r>
        <w:rPr>
          <w:b/>
          <w:bCs/>
          <w:sz w:val="24"/>
        </w:rPr>
        <w:t>第九条 培训</w:t>
      </w:r>
    </w:p>
    <w:p>
      <w:pPr>
        <w:ind w:firstLine="480" w:firstLineChars="200"/>
        <w:rPr>
          <w:b/>
          <w:bCs/>
          <w:sz w:val="24"/>
        </w:rPr>
      </w:pPr>
      <w:r>
        <w:rPr>
          <w:bCs/>
          <w:sz w:val="24"/>
        </w:rPr>
        <w:t>本合同所包括的培训详见附件培训方案。</w:t>
      </w:r>
    </w:p>
    <w:p>
      <w:pPr>
        <w:ind w:firstLine="482" w:firstLineChars="200"/>
        <w:rPr>
          <w:b/>
          <w:bCs/>
          <w:sz w:val="24"/>
        </w:rPr>
      </w:pPr>
      <w:r>
        <w:rPr>
          <w:b/>
          <w:bCs/>
          <w:sz w:val="24"/>
        </w:rPr>
        <w:t>第十条 售后服务</w:t>
      </w:r>
      <w:r>
        <w:rPr>
          <w:rFonts w:hint="eastAsia"/>
          <w:b/>
          <w:bCs/>
          <w:sz w:val="24"/>
        </w:rPr>
        <w:t>（以需求为准）</w:t>
      </w:r>
    </w:p>
    <w:p>
      <w:pPr>
        <w:ind w:firstLine="480" w:firstLineChars="200"/>
        <w:rPr>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sz w:val="24"/>
        </w:rPr>
      </w:pPr>
      <w:r>
        <w:rPr>
          <w:sz w:val="24"/>
        </w:rPr>
        <w:t>（二）本合同所包含的售后服务，包含制造商售后服务和代理商售后服务，具体见附件技术支持及售后服务方案。</w:t>
      </w:r>
    </w:p>
    <w:p>
      <w:pPr>
        <w:ind w:firstLine="482" w:firstLineChars="200"/>
        <w:rPr>
          <w:b/>
          <w:bCs/>
          <w:sz w:val="24"/>
        </w:rPr>
      </w:pPr>
      <w:r>
        <w:rPr>
          <w:b/>
          <w:bCs/>
          <w:sz w:val="24"/>
        </w:rPr>
        <w:t>第十一条 违约责任</w:t>
      </w:r>
    </w:p>
    <w:p>
      <w:pPr>
        <w:ind w:firstLine="480" w:firstLineChars="200"/>
        <w:rPr>
          <w:sz w:val="24"/>
        </w:rPr>
      </w:pPr>
      <w:r>
        <w:rPr>
          <w:sz w:val="24"/>
        </w:rPr>
        <w:t>（一）因乙方原因未能按照本合同要求交付合格的货物或提供相关服务的违约责任。</w:t>
      </w:r>
    </w:p>
    <w:p>
      <w:pPr>
        <w:ind w:firstLine="480" w:firstLineChars="200"/>
        <w:rPr>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sz w:val="24"/>
        </w:rPr>
      </w:pPr>
      <w:r>
        <w:rPr>
          <w:sz w:val="24"/>
        </w:rPr>
        <w:t>（1）退货：甲方将货物退回乙方，乙方将合同货款退还给甲方，并承担由此发生的一切损失和费用。</w:t>
      </w:r>
    </w:p>
    <w:p>
      <w:pPr>
        <w:ind w:firstLine="480" w:firstLineChars="200"/>
        <w:rPr>
          <w:sz w:val="24"/>
        </w:rPr>
      </w:pPr>
      <w:r>
        <w:rPr>
          <w:sz w:val="24"/>
        </w:rPr>
        <w:t>（2）退货重新制作：甲方将货物退回乙方，乙方按照技术标准要求重新制作，并承担由此发生的一切损失和费用。</w:t>
      </w:r>
    </w:p>
    <w:p>
      <w:pPr>
        <w:ind w:firstLine="480" w:firstLineChars="200"/>
        <w:rPr>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b/>
          <w:bCs/>
          <w:sz w:val="24"/>
        </w:rPr>
      </w:pPr>
      <w:r>
        <w:rPr>
          <w:b/>
          <w:bCs/>
          <w:sz w:val="24"/>
        </w:rPr>
        <w:t>第十四条 知识产权</w:t>
      </w:r>
    </w:p>
    <w:p>
      <w:pPr>
        <w:ind w:firstLine="480" w:firstLineChars="200"/>
        <w:rPr>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b/>
          <w:bCs/>
          <w:sz w:val="24"/>
        </w:rPr>
      </w:pPr>
      <w:r>
        <w:rPr>
          <w:b/>
          <w:bCs/>
          <w:sz w:val="24"/>
        </w:rPr>
        <w:t>第十五条 权利瑕疵担保</w:t>
      </w:r>
    </w:p>
    <w:p>
      <w:pPr>
        <w:ind w:firstLine="480" w:firstLineChars="200"/>
        <w:rPr>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b/>
          <w:bCs/>
          <w:sz w:val="24"/>
        </w:rPr>
      </w:pPr>
      <w:r>
        <w:rPr>
          <w:b/>
          <w:bCs/>
          <w:sz w:val="24"/>
        </w:rPr>
        <w:t>第十六条 不可抗力及其免责</w:t>
      </w:r>
    </w:p>
    <w:p>
      <w:pPr>
        <w:ind w:firstLine="480" w:firstLineChars="200"/>
        <w:rPr>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sz w:val="24"/>
        </w:rPr>
      </w:pPr>
      <w:r>
        <w:rPr>
          <w:sz w:val="24"/>
        </w:rPr>
        <w:t>（三）乙方在延迟履行合同期间由于不可抗力而不能履行合同的，不能被免除责任。</w:t>
      </w:r>
    </w:p>
    <w:p>
      <w:pPr>
        <w:ind w:firstLine="480" w:firstLineChars="200"/>
        <w:rPr>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b/>
          <w:bCs/>
          <w:sz w:val="24"/>
        </w:rPr>
      </w:pPr>
      <w:r>
        <w:rPr>
          <w:b/>
          <w:bCs/>
          <w:sz w:val="24"/>
        </w:rPr>
        <w:t>第十七条 争议的解决</w:t>
      </w:r>
    </w:p>
    <w:p>
      <w:pPr>
        <w:ind w:firstLine="480" w:firstLineChars="200"/>
        <w:rPr>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b/>
          <w:bCs/>
          <w:sz w:val="24"/>
        </w:rPr>
      </w:pPr>
      <w:r>
        <w:rPr>
          <w:b/>
          <w:bCs/>
          <w:sz w:val="24"/>
        </w:rPr>
        <w:t>第十八条 合同修改或变更</w:t>
      </w:r>
    </w:p>
    <w:p>
      <w:pPr>
        <w:ind w:firstLine="480" w:firstLineChars="200"/>
        <w:rPr>
          <w:sz w:val="24"/>
        </w:rPr>
      </w:pPr>
      <w:r>
        <w:rPr>
          <w:sz w:val="24"/>
        </w:rPr>
        <w:t>（一）如无重大变故，甲乙双方不得擅自变更合同。</w:t>
      </w:r>
    </w:p>
    <w:p>
      <w:pPr>
        <w:ind w:firstLine="480" w:firstLineChars="200"/>
        <w:rPr>
          <w:sz w:val="24"/>
        </w:rPr>
      </w:pPr>
      <w:r>
        <w:rPr>
          <w:sz w:val="24"/>
        </w:rPr>
        <w:t>（二）如确需变更合同，甲乙双方应签署书面变更协议。变更协议为本合同不可分割的一部分。</w:t>
      </w:r>
    </w:p>
    <w:p>
      <w:pPr>
        <w:ind w:firstLine="480" w:firstLineChars="200"/>
        <w:rPr>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b/>
          <w:bCs/>
          <w:sz w:val="24"/>
        </w:rPr>
      </w:pPr>
      <w:r>
        <w:rPr>
          <w:b/>
          <w:bCs/>
          <w:sz w:val="24"/>
        </w:rPr>
        <w:t>第十九条 合同中止</w:t>
      </w:r>
    </w:p>
    <w:p>
      <w:pPr>
        <w:ind w:firstLine="480" w:firstLineChars="200"/>
        <w:rPr>
          <w:sz w:val="24"/>
        </w:rPr>
      </w:pPr>
      <w:r>
        <w:rPr>
          <w:sz w:val="24"/>
        </w:rPr>
        <w:t>（一）合同在履行过程中，因采购计划调整，甲方（用户）可以要求中止履行，待计划确定后继续履行。</w:t>
      </w:r>
    </w:p>
    <w:p>
      <w:pPr>
        <w:ind w:firstLine="480" w:firstLineChars="200"/>
        <w:rPr>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b/>
          <w:bCs/>
          <w:sz w:val="24"/>
        </w:rPr>
      </w:pPr>
      <w:r>
        <w:rPr>
          <w:b/>
          <w:bCs/>
          <w:sz w:val="24"/>
        </w:rPr>
        <w:t>第二十条 合同解除</w:t>
      </w:r>
    </w:p>
    <w:p>
      <w:pPr>
        <w:ind w:firstLine="480" w:firstLineChars="200"/>
        <w:rPr>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sz w:val="24"/>
        </w:rPr>
      </w:pPr>
      <w:r>
        <w:rPr>
          <w:sz w:val="24"/>
        </w:rPr>
        <w:t>（一）因违约解除合同</w:t>
      </w:r>
    </w:p>
    <w:p>
      <w:pPr>
        <w:ind w:firstLine="480" w:firstLineChars="200"/>
        <w:rPr>
          <w:sz w:val="24"/>
        </w:rPr>
      </w:pPr>
      <w:r>
        <w:rPr>
          <w:sz w:val="24"/>
        </w:rPr>
        <w:t>1.在甲方（用户）对乙方违约而采取的任何补救措施不受影响的情况下，甲方（用户）可向乙方发出书面违约通知书，提出解除部分或全部合同：</w:t>
      </w:r>
    </w:p>
    <w:p>
      <w:pPr>
        <w:ind w:firstLine="480" w:firstLineChars="200"/>
        <w:rPr>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sz w:val="24"/>
        </w:rPr>
      </w:pPr>
      <w:r>
        <w:rPr>
          <w:sz w:val="24"/>
        </w:rPr>
        <w:t>（3）如果乙方未能履行合同规定的其他任何义务。</w:t>
      </w:r>
    </w:p>
    <w:p>
      <w:pPr>
        <w:ind w:firstLine="480" w:firstLineChars="200"/>
        <w:rPr>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sz w:val="24"/>
        </w:rPr>
      </w:pPr>
      <w:r>
        <w:rPr>
          <w:sz w:val="24"/>
        </w:rPr>
        <w:t>（二）因破产而解除合同</w:t>
      </w:r>
    </w:p>
    <w:p>
      <w:pPr>
        <w:ind w:firstLine="480" w:firstLineChars="200"/>
        <w:rPr>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sz w:val="24"/>
        </w:rPr>
      </w:pPr>
      <w:r>
        <w:rPr>
          <w:sz w:val="24"/>
        </w:rPr>
        <w:t>2.该解除合同将不损害或影响甲方已经采取或将要采取的任何行动或补救措施的权利。</w:t>
      </w:r>
    </w:p>
    <w:p>
      <w:pPr>
        <w:ind w:firstLine="480" w:firstLineChars="200"/>
        <w:rPr>
          <w:sz w:val="24"/>
        </w:rPr>
      </w:pPr>
      <w:r>
        <w:rPr>
          <w:sz w:val="24"/>
        </w:rPr>
        <w:t>（三）其他解除合同情况</w:t>
      </w:r>
    </w:p>
    <w:p>
      <w:pPr>
        <w:ind w:firstLine="480" w:firstLineChars="200"/>
        <w:rPr>
          <w:sz w:val="24"/>
        </w:rPr>
      </w:pPr>
      <w:r>
        <w:rPr>
          <w:sz w:val="24"/>
        </w:rPr>
        <w:t>1.若合同继续履行将给甲方造成重大损失的，甲方（用户）可以解除合同而不给予乙方任何补偿。</w:t>
      </w:r>
    </w:p>
    <w:p>
      <w:pPr>
        <w:ind w:firstLine="480" w:firstLineChars="200"/>
        <w:rPr>
          <w:sz w:val="24"/>
        </w:rPr>
      </w:pPr>
      <w:r>
        <w:rPr>
          <w:sz w:val="24"/>
        </w:rPr>
        <w:t>2.乙方在执行合同的过程中发生重大变故，对履行合同有影响的，甲方（用户）可以解除合同而不给予乙方任何补偿。</w:t>
      </w:r>
    </w:p>
    <w:p>
      <w:pPr>
        <w:ind w:firstLine="480" w:firstLineChars="200"/>
        <w:rPr>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b/>
          <w:bCs/>
          <w:sz w:val="24"/>
        </w:rPr>
      </w:pPr>
      <w:r>
        <w:rPr>
          <w:b/>
          <w:bCs/>
          <w:sz w:val="24"/>
        </w:rPr>
        <w:t>第二十二条 其他</w:t>
      </w:r>
    </w:p>
    <w:p>
      <w:pPr>
        <w:ind w:firstLine="480" w:firstLineChars="200"/>
        <w:rPr>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b/>
          <w:bCs/>
          <w:sz w:val="24"/>
        </w:rPr>
      </w:pPr>
      <w:r>
        <w:rPr>
          <w:b/>
          <w:bCs/>
          <w:sz w:val="24"/>
        </w:rPr>
        <w:t>第二十四条 合同生效</w:t>
      </w:r>
    </w:p>
    <w:p>
      <w:pPr>
        <w:ind w:firstLine="480" w:firstLineChars="200"/>
        <w:rPr>
          <w:sz w:val="24"/>
        </w:rPr>
      </w:pPr>
      <w:r>
        <w:rPr>
          <w:sz w:val="24"/>
        </w:rPr>
        <w:t>本合同一式___份，甲方执___份，乙方执___份；自甲乙双方签字盖章之日起生效。对本合同的任何更改及补充，均需双方共同协商，并以书面形式盖章确认。</w:t>
      </w:r>
    </w:p>
    <w:p>
      <w:pPr>
        <w:rPr>
          <w:sz w:val="24"/>
        </w:rPr>
      </w:pPr>
    </w:p>
    <w:p>
      <w:pPr>
        <w:rPr>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sz w:val="24"/>
        </w:rPr>
      </w:pPr>
      <w:r>
        <w:rPr>
          <w:sz w:val="24"/>
        </w:rPr>
        <w:t xml:space="preserve">日期： 年  月  日                 日期：   年   月   日    </w:t>
      </w:r>
    </w:p>
    <w:p>
      <w:pPr>
        <w:rPr>
          <w:sz w:val="24"/>
        </w:rPr>
      </w:pPr>
      <w:r>
        <w:rPr>
          <w:sz w:val="24"/>
        </w:rPr>
        <w:t>联系人:                           联系人：</w:t>
      </w:r>
    </w:p>
    <w:p>
      <w:pPr>
        <w:rPr>
          <w:sz w:val="24"/>
        </w:rPr>
      </w:pPr>
      <w:r>
        <w:rPr>
          <w:sz w:val="24"/>
        </w:rPr>
        <w:t>电话:                             电话：</w:t>
      </w:r>
    </w:p>
    <w:p>
      <w:pPr>
        <w:shd w:val="clear" w:color="auto" w:fill="auto"/>
        <w:tabs>
          <w:tab w:val="clear" w:pos="426"/>
        </w:tabs>
        <w:adjustRightInd/>
        <w:snapToGrid/>
        <w:spacing w:line="240" w:lineRule="auto"/>
        <w:jc w:val="left"/>
        <w:rPr>
          <w:rFonts w:ascii="Calibri" w:hAnsi="Calibri" w:cs="Times New Roman"/>
          <w:kern w:val="2"/>
        </w:rPr>
      </w:pPr>
      <w:r>
        <w:rPr>
          <w:sz w:val="24"/>
        </w:rPr>
        <w:t>地址：                            地址：</w:t>
      </w:r>
      <w:r>
        <w:rPr>
          <w:rFonts w:ascii="Calibri" w:hAnsi="Calibri" w:cs="Times New Roman"/>
          <w:kern w:val="2"/>
        </w:rPr>
        <w:br w:type="page"/>
      </w:r>
    </w:p>
    <w:p>
      <w:pPr>
        <w:rPr>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rFonts w:hint="eastAsia"/>
          <w:bCs/>
          <w:sz w:val="24"/>
        </w:rPr>
        <w:t>附件3：技术支持及售后服务方案</w:t>
      </w:r>
    </w:p>
    <w:p>
      <w:pPr>
        <w:rPr>
          <w:sz w:val="24"/>
        </w:rPr>
      </w:pPr>
    </w:p>
    <w:p>
      <w:pPr>
        <w:pStyle w:val="62"/>
      </w:pPr>
      <w:r>
        <w:br w:type="page"/>
      </w:r>
      <w:bookmarkEnd w:id="80"/>
      <w:bookmarkEnd w:id="81"/>
      <w:bookmarkStart w:id="86" w:name="_Toc4933"/>
      <w:r>
        <w:rPr>
          <w:rFonts w:hint="eastAsia"/>
        </w:rPr>
        <w:t>第六章 投标资料表</w:t>
      </w:r>
      <w:bookmarkEnd w:id="86"/>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pPr>
      <w:r>
        <w:br w:type="page"/>
      </w:r>
      <w:bookmarkStart w:id="87" w:name="_Toc518464366"/>
      <w:bookmarkStart w:id="88" w:name="_Toc528675178"/>
      <w:bookmarkStart w:id="89" w:name="_Toc528170806"/>
    </w:p>
    <w:p>
      <w:pPr>
        <w:pStyle w:val="62"/>
      </w:pPr>
      <w:bookmarkStart w:id="90" w:name="_Toc25551"/>
      <w:r>
        <w:rPr>
          <w:rFonts w:hint="eastAsia"/>
        </w:rPr>
        <w:t>第七章投标文件格式</w:t>
      </w:r>
      <w:bookmarkEnd w:id="90"/>
    </w:p>
    <w:p>
      <w:pPr>
        <w:adjustRightInd/>
        <w:snapToGrid/>
        <w:spacing w:before="280" w:after="290" w:line="377" w:lineRule="auto"/>
        <w:jc w:val="center"/>
        <w:outlineLvl w:val="2"/>
        <w:rPr>
          <w:b/>
          <w:sz w:val="24"/>
        </w:rPr>
      </w:pPr>
      <w:bookmarkStart w:id="91" w:name="_Toc20740"/>
      <w:r>
        <w:rPr>
          <w:rFonts w:hint="eastAsia"/>
          <w:b/>
          <w:sz w:val="24"/>
        </w:rPr>
        <w:t>投标文件编制说明</w:t>
      </w:r>
      <w:bookmarkEnd w:id="91"/>
    </w:p>
    <w:p>
      <w:pPr>
        <w:tabs>
          <w:tab w:val="clear" w:pos="426"/>
        </w:tabs>
        <w:spacing w:line="276" w:lineRule="auto"/>
        <w:ind w:firstLine="420" w:firstLineChars="200"/>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b/>
          <w:sz w:val="24"/>
        </w:rPr>
      </w:pPr>
    </w:p>
    <w:p>
      <w:pPr>
        <w:rPr>
          <w:b/>
          <w:sz w:val="24"/>
        </w:rPr>
      </w:pPr>
      <w:r>
        <w:rPr>
          <w:rFonts w:hint="eastAsia"/>
          <w:b/>
          <w:sz w:val="24"/>
        </w:rPr>
        <w:br w:type="page"/>
      </w:r>
    </w:p>
    <w:p>
      <w:pPr>
        <w:adjustRightInd/>
        <w:snapToGrid/>
        <w:spacing w:before="280" w:after="290" w:line="377" w:lineRule="auto"/>
        <w:jc w:val="center"/>
        <w:rPr>
          <w:b/>
          <w:sz w:val="24"/>
        </w:rPr>
      </w:pPr>
      <w:r>
        <w:rPr>
          <w:rFonts w:hint="eastAsia"/>
          <w:b/>
          <w:sz w:val="24"/>
        </w:rPr>
        <w:t>密封袋封条格式</w:t>
      </w:r>
      <w:bookmarkEnd w:id="87"/>
      <w:bookmarkEnd w:id="88"/>
      <w:bookmarkEnd w:id="89"/>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深圳海关动植物检验检疫技术中心“荧光PCR仪”设备采购项目</w:t>
      </w:r>
    </w:p>
    <w:p>
      <w:pPr>
        <w:tabs>
          <w:tab w:val="clear" w:pos="426"/>
        </w:tabs>
        <w:jc w:val="center"/>
        <w:rPr>
          <w:sz w:val="44"/>
          <w:szCs w:val="44"/>
        </w:rPr>
      </w:pP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p>
    <w:p>
      <w:pPr>
        <w:tabs>
          <w:tab w:val="clear" w:pos="426"/>
        </w:tabs>
        <w:ind w:left="708" w:leftChars="337"/>
        <w:rPr>
          <w:sz w:val="28"/>
          <w:szCs w:val="28"/>
        </w:rPr>
      </w:pPr>
      <w:r>
        <w:rPr>
          <w:rFonts w:hint="eastAsia"/>
          <w:sz w:val="28"/>
          <w:szCs w:val="28"/>
        </w:rPr>
        <w:t>投标供应商名称（公章)：</w:t>
      </w:r>
    </w:p>
    <w:p>
      <w:pPr>
        <w:tabs>
          <w:tab w:val="clear" w:pos="426"/>
        </w:tabs>
        <w:ind w:left="708" w:leftChars="337"/>
        <w:rPr>
          <w:sz w:val="28"/>
          <w:szCs w:val="28"/>
        </w:rPr>
      </w:pPr>
      <w:r>
        <w:rPr>
          <w:rFonts w:hint="eastAsia"/>
          <w:sz w:val="28"/>
          <w:szCs w:val="28"/>
        </w:rPr>
        <w:t>投标供应商代表（签字或盖章）：</w:t>
      </w:r>
    </w:p>
    <w:p>
      <w:pPr>
        <w:tabs>
          <w:tab w:val="clear" w:pos="426"/>
        </w:tabs>
        <w:ind w:left="708" w:leftChars="337"/>
        <w:rPr>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b/>
          <w:sz w:val="24"/>
        </w:rPr>
      </w:pPr>
      <w:r>
        <w:br w:type="page"/>
      </w:r>
      <w:bookmarkStart w:id="92" w:name="_Toc528675179"/>
      <w:bookmarkStart w:id="93" w:name="_Toc518464367"/>
      <w:bookmarkStart w:id="94" w:name="_Toc528170807"/>
      <w:r>
        <w:rPr>
          <w:rFonts w:hint="eastAsia"/>
          <w:b/>
          <w:sz w:val="24"/>
        </w:rPr>
        <w:t>投标文件封面格式</w:t>
      </w:r>
      <w:bookmarkEnd w:id="92"/>
      <w:bookmarkEnd w:id="93"/>
      <w:bookmarkEnd w:id="94"/>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深圳海关动植物检验检疫技术中心“荧光PCR仪”设备采购项目</w:t>
      </w:r>
    </w:p>
    <w:p>
      <w:pPr>
        <w:tabs>
          <w:tab w:val="clear" w:pos="426"/>
        </w:tabs>
        <w:jc w:val="center"/>
        <w:rPr>
          <w:sz w:val="44"/>
          <w:szCs w:val="44"/>
        </w:rPr>
      </w:pP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pPr>
    </w:p>
    <w:p>
      <w:pPr>
        <w:tabs>
          <w:tab w:val="clear" w:pos="426"/>
        </w:tabs>
        <w:jc w:val="center"/>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p>
    <w:p>
      <w:pPr>
        <w:tabs>
          <w:tab w:val="clear" w:pos="426"/>
        </w:tabs>
        <w:ind w:left="1275" w:leftChars="607"/>
        <w:rPr>
          <w:sz w:val="28"/>
          <w:szCs w:val="28"/>
        </w:rPr>
      </w:pPr>
      <w:r>
        <w:rPr>
          <w:rFonts w:hint="eastAsia"/>
          <w:sz w:val="28"/>
          <w:szCs w:val="28"/>
        </w:rPr>
        <w:t>投标供应商名称（公章)：</w:t>
      </w:r>
    </w:p>
    <w:p>
      <w:pPr>
        <w:tabs>
          <w:tab w:val="clear" w:pos="426"/>
        </w:tabs>
        <w:ind w:left="1275" w:leftChars="607"/>
        <w:rPr>
          <w:sz w:val="28"/>
          <w:szCs w:val="28"/>
        </w:rPr>
      </w:pPr>
      <w:r>
        <w:rPr>
          <w:rFonts w:hint="eastAsia"/>
          <w:sz w:val="28"/>
          <w:szCs w:val="28"/>
        </w:rPr>
        <w:t>投标供应商代表（签字或盖章）：</w:t>
      </w:r>
    </w:p>
    <w:p>
      <w:pPr>
        <w:tabs>
          <w:tab w:val="clear" w:pos="426"/>
        </w:tabs>
        <w:ind w:left="1275" w:leftChars="607"/>
        <w:rPr>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pPr>
    </w:p>
    <w:p>
      <w:pPr>
        <w:adjustRightInd/>
        <w:snapToGrid/>
        <w:spacing w:before="280" w:after="290" w:line="377" w:lineRule="auto"/>
        <w:jc w:val="center"/>
        <w:rPr>
          <w:b/>
          <w:sz w:val="24"/>
        </w:rPr>
      </w:pPr>
      <w:r>
        <w:br w:type="page"/>
      </w:r>
      <w:bookmarkStart w:id="95" w:name="_Toc528170808"/>
      <w:bookmarkStart w:id="96" w:name="_Toc528675180"/>
      <w:bookmarkStart w:id="97" w:name="_Toc518464368"/>
      <w:r>
        <w:rPr>
          <w:rFonts w:hint="eastAsia"/>
          <w:b/>
          <w:sz w:val="24"/>
        </w:rPr>
        <w:t>投标文件目录（目录格式自定）</w:t>
      </w:r>
      <w:bookmarkEnd w:id="95"/>
      <w:bookmarkEnd w:id="96"/>
      <w:bookmarkEnd w:id="97"/>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adjustRightInd/>
        <w:snapToGrid/>
        <w:spacing w:before="280" w:after="290" w:line="377" w:lineRule="auto"/>
        <w:jc w:val="center"/>
        <w:rPr>
          <w:b/>
          <w:sz w:val="24"/>
        </w:rPr>
      </w:pPr>
      <w:r>
        <w:br w:type="page"/>
      </w:r>
      <w:bookmarkStart w:id="98" w:name="_Toc518464369"/>
      <w:bookmarkStart w:id="99" w:name="_Toc528170809"/>
      <w:bookmarkStart w:id="100" w:name="_Toc528675181"/>
      <w:r>
        <w:rPr>
          <w:rFonts w:hint="eastAsia"/>
          <w:b/>
          <w:sz w:val="24"/>
        </w:rPr>
        <w:t>评标指引表</w:t>
      </w:r>
      <w:bookmarkEnd w:id="98"/>
      <w:bookmarkEnd w:id="99"/>
      <w:bookmarkEnd w:id="100"/>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kern w:val="2"/>
              </w:rPr>
            </w:pPr>
            <w:r>
              <w:rPr>
                <w:rFonts w:hint="eastAsia"/>
              </w:rPr>
              <w:t>营业执照</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w:t>
            </w:r>
          </w:p>
        </w:tc>
        <w:tc>
          <w:tcPr>
            <w:tcW w:w="5943" w:type="dxa"/>
            <w:gridSpan w:val="4"/>
            <w:vAlign w:val="center"/>
          </w:tcPr>
          <w:p>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4</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5</w:t>
            </w:r>
          </w:p>
        </w:tc>
        <w:tc>
          <w:tcPr>
            <w:tcW w:w="5943" w:type="dxa"/>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6</w:t>
            </w:r>
          </w:p>
        </w:tc>
        <w:tc>
          <w:tcPr>
            <w:tcW w:w="5943" w:type="dxa"/>
            <w:gridSpan w:val="4"/>
            <w:vAlign w:val="center"/>
          </w:tcPr>
          <w:p>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7</w:t>
            </w:r>
          </w:p>
        </w:tc>
        <w:tc>
          <w:tcPr>
            <w:tcW w:w="5943" w:type="dxa"/>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9</w:t>
            </w:r>
          </w:p>
        </w:tc>
        <w:tc>
          <w:tcPr>
            <w:tcW w:w="5943" w:type="dxa"/>
            <w:gridSpan w:val="4"/>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10</w:t>
            </w:r>
          </w:p>
        </w:tc>
        <w:tc>
          <w:tcPr>
            <w:tcW w:w="5943" w:type="dxa"/>
            <w:gridSpan w:val="4"/>
            <w:vAlign w:val="center"/>
          </w:tcPr>
          <w:p>
            <w:pPr>
              <w:tabs>
                <w:tab w:val="clear" w:pos="426"/>
              </w:tabs>
              <w:adjustRightInd/>
              <w:snapToGrid/>
              <w:spacing w:line="240" w:lineRule="auto"/>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11</w:t>
            </w:r>
          </w:p>
        </w:tc>
        <w:tc>
          <w:tcPr>
            <w:tcW w:w="5943" w:type="dxa"/>
            <w:gridSpan w:val="4"/>
            <w:vAlign w:val="center"/>
          </w:tcPr>
          <w:p>
            <w:pPr>
              <w:tabs>
                <w:tab w:val="clear" w:pos="426"/>
              </w:tabs>
              <w:adjustRightInd/>
              <w:snapToGrid/>
              <w:spacing w:line="240" w:lineRule="auto"/>
            </w:pPr>
            <w:r>
              <w:rPr>
                <w:rFonts w:hint="eastAsia"/>
              </w:rPr>
              <w:t>所投产品、工程、服务在</w:t>
            </w:r>
            <w:bookmarkStart w:id="198" w:name="_GoBack"/>
            <w:bookmarkEnd w:id="198"/>
            <w:r>
              <w:rPr>
                <w:rFonts w:hint="eastAsia"/>
              </w:rPr>
              <w:t>商务、技术等方面实质性满足招标文件要求的；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12</w:t>
            </w:r>
          </w:p>
        </w:tc>
        <w:tc>
          <w:tcPr>
            <w:tcW w:w="5943" w:type="dxa"/>
            <w:gridSpan w:val="4"/>
            <w:vAlign w:val="center"/>
          </w:tcPr>
          <w:p>
            <w:pPr>
              <w:tabs>
                <w:tab w:val="clear" w:pos="426"/>
              </w:tabs>
              <w:adjustRightInd/>
              <w:snapToGrid/>
              <w:spacing w:line="240" w:lineRule="auto"/>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r>
              <w:t>3</w:t>
            </w:r>
          </w:p>
        </w:tc>
        <w:tc>
          <w:tcPr>
            <w:tcW w:w="5943" w:type="dxa"/>
            <w:gridSpan w:val="4"/>
            <w:vAlign w:val="center"/>
          </w:tcPr>
          <w:p>
            <w:pPr>
              <w:tabs>
                <w:tab w:val="clear" w:pos="426"/>
              </w:tabs>
              <w:adjustRightInd/>
              <w:snapToGrid/>
              <w:spacing w:line="240" w:lineRule="auto"/>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r>
              <w:t>4</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b/>
                <w:kern w:val="2"/>
              </w:rPr>
            </w:pPr>
            <w:r>
              <w:rPr>
                <w:rFonts w:hint="eastAsia"/>
                <w:b/>
              </w:rPr>
              <w:t>对应章节</w:t>
            </w:r>
          </w:p>
        </w:tc>
        <w:tc>
          <w:tcPr>
            <w:tcW w:w="1397" w:type="dxa"/>
            <w:vAlign w:val="center"/>
          </w:tcPr>
          <w:p>
            <w:pPr>
              <w:tabs>
                <w:tab w:val="clear" w:pos="426"/>
              </w:tabs>
              <w:adjustRightInd/>
              <w:snapToGrid/>
              <w:spacing w:line="240" w:lineRule="auto"/>
              <w:jc w:val="center"/>
              <w:rPr>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bl>
    <w:p>
      <w:pPr>
        <w:tabs>
          <w:tab w:val="clear" w:pos="426"/>
        </w:tabs>
        <w:rPr>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b/>
          <w:sz w:val="24"/>
        </w:rPr>
      </w:pPr>
      <w:bookmarkStart w:id="101" w:name="_Toc150960251"/>
      <w:bookmarkStart w:id="102" w:name="_Toc151386161"/>
      <w:bookmarkStart w:id="103" w:name="_Toc32283"/>
      <w:bookmarkStart w:id="104" w:name="_Toc43264518"/>
      <w:bookmarkStart w:id="105" w:name="_Toc43264525"/>
      <w:bookmarkStart w:id="106" w:name="_Toc50703730"/>
      <w:bookmarkStart w:id="107" w:name="_Toc50691037"/>
      <w:r>
        <w:rPr>
          <w:rFonts w:hint="eastAsia"/>
          <w:b/>
          <w:sz w:val="24"/>
        </w:rPr>
        <w:t>格式1：投标函</w:t>
      </w:r>
      <w:bookmarkEnd w:id="101"/>
      <w:bookmarkEnd w:id="102"/>
      <w:bookmarkEnd w:id="103"/>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08" w:name="_Toc201743120"/>
      <w:bookmarkStart w:id="109" w:name="_Toc201997950"/>
      <w:bookmarkStart w:id="110" w:name="_Toc201719122"/>
      <w:bookmarkStart w:id="111" w:name="_Toc201742865"/>
      <w:r>
        <w:rPr>
          <w:rFonts w:hint="eastAsia" w:cs="Times New Roman"/>
          <w:bCs/>
          <w:kern w:val="2"/>
          <w:sz w:val="32"/>
          <w:szCs w:val="32"/>
        </w:rPr>
        <w:t>投标函</w:t>
      </w:r>
      <w:bookmarkEnd w:id="108"/>
      <w:bookmarkEnd w:id="109"/>
      <w:bookmarkEnd w:id="110"/>
      <w:bookmarkEnd w:id="111"/>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pPr>
    </w:p>
    <w:p>
      <w:pPr>
        <w:tabs>
          <w:tab w:val="clear" w:pos="426"/>
        </w:tabs>
      </w:pPr>
      <w:r>
        <w:br w:type="page"/>
      </w:r>
      <w:bookmarkStart w:id="112" w:name="_Toc150960253"/>
      <w:bookmarkStart w:id="113" w:name="_Toc151386163"/>
      <w:bookmarkStart w:id="114" w:name="_Toc50736477"/>
      <w:bookmarkStart w:id="115" w:name="_Toc275865607"/>
      <w:bookmarkStart w:id="116" w:name="_Toc480754205"/>
      <w:bookmarkStart w:id="117" w:name="_Toc52165081"/>
      <w:bookmarkStart w:id="118" w:name="_Toc50737329"/>
      <w:bookmarkStart w:id="119" w:name="_Toc50737297"/>
      <w:bookmarkStart w:id="120" w:name="_Toc50737296"/>
      <w:bookmarkStart w:id="121" w:name="_Toc50736476"/>
      <w:bookmarkStart w:id="122" w:name="_Toc50691034"/>
      <w:bookmarkStart w:id="123" w:name="_Toc52165080"/>
      <w:bookmarkStart w:id="124" w:name="_Toc50737328"/>
    </w:p>
    <w:p>
      <w:pPr>
        <w:adjustRightInd/>
        <w:snapToGrid/>
        <w:spacing w:before="280" w:after="290" w:line="377" w:lineRule="auto"/>
        <w:outlineLvl w:val="2"/>
        <w:rPr>
          <w:b/>
          <w:sz w:val="24"/>
        </w:rPr>
      </w:pPr>
      <w:bookmarkStart w:id="125" w:name="_Toc9501"/>
      <w:r>
        <w:rPr>
          <w:rFonts w:hint="eastAsia"/>
          <w:b/>
          <w:sz w:val="24"/>
        </w:rPr>
        <w:t>格式2：</w:t>
      </w:r>
      <w:bookmarkEnd w:id="112"/>
      <w:bookmarkEnd w:id="113"/>
      <w:r>
        <w:rPr>
          <w:rFonts w:hint="eastAsia"/>
          <w:b/>
          <w:sz w:val="24"/>
        </w:rPr>
        <w:t>法定代表人（单位负责人）证明书</w:t>
      </w:r>
      <w:bookmarkEnd w:id="125"/>
    </w:p>
    <w:bookmarkEnd w:id="114"/>
    <w:bookmarkEnd w:id="115"/>
    <w:bookmarkEnd w:id="116"/>
    <w:bookmarkEnd w:id="117"/>
    <w:bookmarkEnd w:id="118"/>
    <w:bookmarkEnd w:id="119"/>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u w:val="single"/>
        </w:rPr>
      </w:pPr>
      <w:r>
        <w:rPr>
          <w:rFonts w:hint="eastAsia"/>
        </w:rPr>
        <w:t>兼营（产）：</w:t>
      </w:r>
      <w:r>
        <w:rPr>
          <w:rFonts w:hint="eastAsia"/>
          <w:u w:val="single"/>
        </w:rPr>
        <w:t>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附：法定代表人（单位负责人）身份证正反面复印件：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b/>
          <w:bCs/>
          <w:u w:val="single"/>
        </w:rPr>
      </w:pPr>
    </w:p>
    <w:bookmarkEnd w:id="120"/>
    <w:bookmarkEnd w:id="121"/>
    <w:bookmarkEnd w:id="122"/>
    <w:bookmarkEnd w:id="123"/>
    <w:bookmarkEnd w:id="124"/>
    <w:p>
      <w:pPr>
        <w:tabs>
          <w:tab w:val="clear" w:pos="426"/>
        </w:tabs>
        <w:spacing w:line="300" w:lineRule="auto"/>
        <w:jc w:val="center"/>
      </w:pPr>
      <w:r>
        <w:br w:type="page"/>
      </w:r>
    </w:p>
    <w:p>
      <w:pPr>
        <w:adjustRightInd/>
        <w:snapToGrid/>
        <w:spacing w:before="280" w:after="290" w:line="377" w:lineRule="auto"/>
        <w:outlineLvl w:val="2"/>
        <w:rPr>
          <w:b/>
          <w:sz w:val="24"/>
        </w:rPr>
      </w:pPr>
      <w:bookmarkStart w:id="126" w:name="_Toc16372"/>
      <w:r>
        <w:rPr>
          <w:rFonts w:hint="eastAsia"/>
          <w:b/>
          <w:sz w:val="24"/>
        </w:rPr>
        <w:t>格式3：授权委托书</w:t>
      </w:r>
      <w:bookmarkEnd w:id="126"/>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szCs w:val="21"/>
        </w:rPr>
      </w:pPr>
      <w:r>
        <w:rPr>
          <w:rFonts w:hint="eastAsia"/>
          <w:szCs w:val="21"/>
        </w:rPr>
        <w:t>本授权书自法定代表人（单位负责人）签字之日起生效，特此声明。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附：被授权人身份证复印正反面件：</w:t>
      </w:r>
    </w:p>
    <w:p>
      <w:pPr>
        <w:tabs>
          <w:tab w:val="clear" w:pos="426"/>
        </w:tabs>
        <w:ind w:firstLine="424" w:firstLineChars="202"/>
        <w:rPr>
          <w:szCs w:val="21"/>
        </w:rPr>
      </w:pPr>
    </w:p>
    <w:p/>
    <w:p>
      <w:pPr>
        <w:adjustRightInd/>
        <w:snapToGrid/>
        <w:spacing w:before="280" w:after="290" w:line="377" w:lineRule="auto"/>
        <w:outlineLvl w:val="2"/>
        <w:rPr>
          <w:b/>
          <w:sz w:val="24"/>
        </w:rPr>
      </w:pPr>
      <w:r>
        <w:br w:type="page"/>
      </w:r>
      <w:bookmarkStart w:id="127" w:name="_Toc12237"/>
      <w:r>
        <w:rPr>
          <w:rFonts w:hint="eastAsia"/>
          <w:b/>
          <w:sz w:val="24"/>
        </w:rPr>
        <w:t>格式4：资格条款偏离表</w:t>
      </w:r>
      <w:bookmarkEnd w:id="127"/>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本项目属于不专门面向中小企业采购的项目。</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
      <w:r>
        <w:rPr>
          <w:rFonts w:hint="eastAsia"/>
        </w:rPr>
        <w:br w:type="page"/>
      </w:r>
    </w:p>
    <w:p>
      <w:pPr>
        <w:adjustRightInd/>
        <w:snapToGrid/>
        <w:spacing w:before="280" w:after="290" w:line="377" w:lineRule="auto"/>
        <w:outlineLvl w:val="2"/>
        <w:rPr>
          <w:b/>
          <w:sz w:val="24"/>
        </w:rPr>
      </w:pPr>
      <w:bookmarkStart w:id="128" w:name="_Toc3927"/>
      <w:r>
        <w:rPr>
          <w:rFonts w:hint="eastAsia"/>
          <w:b/>
          <w:sz w:val="24"/>
        </w:rPr>
        <w:t>格式5：法人或者其他组织的营业执照等证明文件</w:t>
      </w:r>
      <w:bookmarkEnd w:id="128"/>
    </w:p>
    <w:p>
      <w:pPr>
        <w:tabs>
          <w:tab w:val="clear" w:pos="426"/>
        </w:tabs>
        <w:spacing w:before="231" w:beforeLines="50"/>
        <w:ind w:firstLine="424" w:firstLineChars="201"/>
        <w:rPr>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b/>
          <w:sz w:val="24"/>
        </w:rPr>
      </w:pPr>
      <w:bookmarkStart w:id="129" w:name="_Toc150960255"/>
      <w:bookmarkStart w:id="130" w:name="_Toc151386165"/>
      <w:r>
        <w:rPr>
          <w:rFonts w:hint="eastAsia"/>
          <w:b/>
          <w:sz w:val="24"/>
        </w:rPr>
        <w:br w:type="page"/>
      </w:r>
    </w:p>
    <w:p>
      <w:pPr>
        <w:adjustRightInd/>
        <w:snapToGrid/>
        <w:spacing w:before="280" w:after="290" w:line="377" w:lineRule="auto"/>
        <w:outlineLvl w:val="2"/>
        <w:rPr>
          <w:b/>
          <w:sz w:val="24"/>
        </w:rPr>
      </w:pPr>
      <w:bookmarkStart w:id="131" w:name="_Toc21226"/>
      <w:r>
        <w:rPr>
          <w:rFonts w:hint="eastAsia"/>
          <w:b/>
          <w:sz w:val="24"/>
        </w:rPr>
        <w:t>格式6：投标人资格声明函</w:t>
      </w:r>
      <w:bookmarkEnd w:id="131"/>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投标人资格声明函</w:t>
      </w:r>
    </w:p>
    <w:p>
      <w:pPr>
        <w:tabs>
          <w:tab w:val="clear" w:pos="426"/>
        </w:tabs>
      </w:pPr>
    </w:p>
    <w:p>
      <w:pPr>
        <w:tabs>
          <w:tab w:val="clear" w:pos="426"/>
        </w:tabs>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pPr>
    </w:p>
    <w:p>
      <w:pPr>
        <w:tabs>
          <w:tab w:val="clear" w:pos="426"/>
        </w:tabs>
        <w:ind w:firstLine="420"/>
        <w:rPr>
          <w:u w:val="single"/>
        </w:rPr>
      </w:pPr>
      <w:r>
        <w:rPr>
          <w:rFonts w:hint="eastAsia"/>
        </w:rPr>
        <w:t>单位名称：</w:t>
      </w:r>
      <w:r>
        <w:rPr>
          <w:rFonts w:hint="eastAsia"/>
          <w:u w:val="single"/>
        </w:rPr>
        <w:t>_____________________________________________________________</w:t>
      </w:r>
    </w:p>
    <w:p>
      <w:pPr>
        <w:tabs>
          <w:tab w:val="clear" w:pos="426"/>
        </w:tabs>
        <w:ind w:firstLine="420"/>
        <w:rPr>
          <w:u w:val="single"/>
        </w:rPr>
      </w:pPr>
      <w:r>
        <w:rPr>
          <w:rFonts w:hint="eastAsia"/>
        </w:rPr>
        <w:t>法定代表人或投标人授权代表（签字或盖章）：</w:t>
      </w:r>
      <w:r>
        <w:rPr>
          <w:rFonts w:hint="eastAsia"/>
          <w:u w:val="single"/>
        </w:rPr>
        <w:t>_____________________________</w:t>
      </w:r>
    </w:p>
    <w:p>
      <w:pPr>
        <w:tabs>
          <w:tab w:val="clear" w:pos="426"/>
        </w:tabs>
        <w:ind w:firstLine="420"/>
        <w:rPr>
          <w:u w:val="single"/>
        </w:rPr>
      </w:pPr>
      <w:r>
        <w:rPr>
          <w:rFonts w:hint="eastAsia"/>
        </w:rPr>
        <w:t>单位地址：</w:t>
      </w:r>
      <w:r>
        <w:rPr>
          <w:rFonts w:hint="eastAsia"/>
          <w:u w:val="single"/>
        </w:rPr>
        <w:t>_____________________________________________________________</w:t>
      </w:r>
    </w:p>
    <w:p>
      <w:pPr>
        <w:tabs>
          <w:tab w:val="clear" w:pos="426"/>
        </w:tabs>
        <w:ind w:firstLine="420"/>
        <w:rPr>
          <w:u w:val="single"/>
        </w:rPr>
      </w:pPr>
      <w:r>
        <w:rPr>
          <w:rFonts w:hint="eastAsia"/>
        </w:rPr>
        <w:t>单位公章：</w:t>
      </w:r>
      <w:r>
        <w:rPr>
          <w:rFonts w:hint="eastAsia"/>
          <w:u w:val="single"/>
        </w:rPr>
        <w:t>_____________________________________________________________</w:t>
      </w:r>
    </w:p>
    <w:p>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u w:val="single"/>
        </w:rPr>
      </w:pPr>
      <w:r>
        <w:rPr>
          <w:rFonts w:hint="eastAsia"/>
        </w:rPr>
        <w:t>联系电话：</w:t>
      </w:r>
      <w:r>
        <w:rPr>
          <w:rFonts w:hint="eastAsia"/>
          <w:u w:val="single"/>
        </w:rPr>
        <w:t>_____________________________________________________________</w:t>
      </w:r>
    </w:p>
    <w:p/>
    <w:p>
      <w:pPr>
        <w:rPr>
          <w:b/>
          <w:sz w:val="24"/>
        </w:rPr>
      </w:pPr>
      <w:r>
        <w:rPr>
          <w:rFonts w:hint="eastAsia"/>
          <w:b/>
          <w:sz w:val="24"/>
        </w:rPr>
        <w:br w:type="page"/>
      </w:r>
    </w:p>
    <w:p>
      <w:pPr>
        <w:adjustRightInd/>
        <w:snapToGrid/>
        <w:spacing w:before="280" w:after="290" w:line="377" w:lineRule="auto"/>
        <w:outlineLvl w:val="2"/>
        <w:rPr>
          <w:b/>
          <w:sz w:val="24"/>
        </w:rPr>
      </w:pPr>
      <w:bookmarkStart w:id="132" w:name="_Toc21325"/>
      <w:r>
        <w:rPr>
          <w:rFonts w:hint="eastAsia"/>
          <w:b/>
          <w:sz w:val="24"/>
        </w:rPr>
        <w:t>格式7：开标一览表</w:t>
      </w:r>
      <w:bookmarkEnd w:id="129"/>
      <w:bookmarkEnd w:id="130"/>
      <w:bookmarkEnd w:id="132"/>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33" w:name="_Toc480754208"/>
      <w:bookmarkStart w:id="134" w:name="_Toc480755929"/>
      <w:bookmarkStart w:id="135" w:name="_Toc480756075"/>
      <w:bookmarkStart w:id="136" w:name="_Toc480789479"/>
      <w:r>
        <w:rPr>
          <w:rFonts w:hint="eastAsia" w:cs="Times New Roman"/>
          <w:bCs/>
          <w:kern w:val="2"/>
          <w:sz w:val="32"/>
          <w:szCs w:val="32"/>
        </w:rPr>
        <w:t>开标一览表</w:t>
      </w:r>
      <w:bookmarkEnd w:id="133"/>
      <w:bookmarkEnd w:id="134"/>
      <w:bookmarkEnd w:id="135"/>
      <w:bookmarkEnd w:id="136"/>
    </w:p>
    <w:p>
      <w:pPr>
        <w:tabs>
          <w:tab w:val="clear" w:pos="426"/>
        </w:tabs>
        <w:jc w:val="left"/>
      </w:pPr>
    </w:p>
    <w:p>
      <w:pPr>
        <w:tabs>
          <w:tab w:val="clear" w:pos="426"/>
        </w:tabs>
        <w:jc w:val="left"/>
        <w:rPr>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75"/>
        <w:gridCol w:w="3983"/>
        <w:gridCol w:w="265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3" w:type="pct"/>
            <w:vAlign w:val="center"/>
          </w:tcPr>
          <w:p>
            <w:pPr>
              <w:jc w:val="center"/>
              <w:rPr>
                <w:b/>
                <w:szCs w:val="21"/>
              </w:rPr>
            </w:pPr>
            <w:r>
              <w:rPr>
                <w:rFonts w:hint="eastAsia"/>
                <w:b/>
                <w:szCs w:val="21"/>
              </w:rPr>
              <w:t>序号</w:t>
            </w:r>
          </w:p>
        </w:tc>
        <w:tc>
          <w:tcPr>
            <w:tcW w:w="666" w:type="pct"/>
            <w:vAlign w:val="center"/>
          </w:tcPr>
          <w:p>
            <w:pPr>
              <w:jc w:val="center"/>
              <w:rPr>
                <w:b/>
                <w:szCs w:val="21"/>
              </w:rPr>
            </w:pPr>
            <w:r>
              <w:rPr>
                <w:rFonts w:hint="eastAsia"/>
                <w:b/>
                <w:szCs w:val="21"/>
              </w:rPr>
              <w:t>包号</w:t>
            </w:r>
          </w:p>
        </w:tc>
        <w:tc>
          <w:tcPr>
            <w:tcW w:w="2080" w:type="pct"/>
            <w:vAlign w:val="center"/>
          </w:tcPr>
          <w:p>
            <w:pPr>
              <w:jc w:val="center"/>
              <w:rPr>
                <w:b/>
                <w:szCs w:val="21"/>
              </w:rPr>
            </w:pPr>
            <w:r>
              <w:rPr>
                <w:rFonts w:hint="eastAsia"/>
                <w:b/>
                <w:szCs w:val="21"/>
              </w:rPr>
              <w:t>项目名称</w:t>
            </w:r>
          </w:p>
        </w:tc>
        <w:tc>
          <w:tcPr>
            <w:tcW w:w="1387" w:type="pct"/>
            <w:vAlign w:val="center"/>
          </w:tcPr>
          <w:p>
            <w:pPr>
              <w:jc w:val="center"/>
              <w:rPr>
                <w:b/>
                <w:szCs w:val="21"/>
              </w:rPr>
            </w:pPr>
            <w:r>
              <w:rPr>
                <w:rFonts w:hint="eastAsia"/>
                <w:b/>
                <w:szCs w:val="21"/>
              </w:rPr>
              <w:t>投标总价（元）</w:t>
            </w:r>
          </w:p>
        </w:tc>
        <w:tc>
          <w:tcPr>
            <w:tcW w:w="462" w:type="pc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3" w:type="pct"/>
            <w:vAlign w:val="center"/>
          </w:tcPr>
          <w:p>
            <w:pPr>
              <w:jc w:val="center"/>
              <w:rPr>
                <w:bCs/>
                <w:szCs w:val="21"/>
              </w:rPr>
            </w:pPr>
          </w:p>
        </w:tc>
        <w:tc>
          <w:tcPr>
            <w:tcW w:w="666" w:type="pct"/>
            <w:vAlign w:val="center"/>
          </w:tcPr>
          <w:p>
            <w:pPr>
              <w:jc w:val="center"/>
              <w:rPr>
                <w:b/>
                <w:szCs w:val="21"/>
              </w:rPr>
            </w:pPr>
          </w:p>
        </w:tc>
        <w:tc>
          <w:tcPr>
            <w:tcW w:w="2080" w:type="pct"/>
            <w:vAlign w:val="center"/>
          </w:tcPr>
          <w:p>
            <w:pPr>
              <w:jc w:val="center"/>
              <w:rPr>
                <w:b/>
                <w:szCs w:val="21"/>
              </w:rPr>
            </w:pPr>
          </w:p>
        </w:tc>
        <w:tc>
          <w:tcPr>
            <w:tcW w:w="1387" w:type="pct"/>
            <w:vAlign w:val="center"/>
          </w:tcPr>
          <w:p>
            <w:pPr>
              <w:jc w:val="left"/>
              <w:rPr>
                <w:b/>
                <w:szCs w:val="21"/>
              </w:rPr>
            </w:pPr>
            <w:r>
              <w:rPr>
                <w:rFonts w:hint="eastAsia"/>
                <w:b/>
                <w:szCs w:val="21"/>
              </w:rPr>
              <w:t>大写：</w:t>
            </w:r>
          </w:p>
          <w:p>
            <w:pPr>
              <w:jc w:val="left"/>
              <w:rPr>
                <w:b/>
                <w:szCs w:val="21"/>
              </w:rPr>
            </w:pPr>
            <w:r>
              <w:rPr>
                <w:rFonts w:hint="eastAsia"/>
                <w:b/>
                <w:szCs w:val="21"/>
              </w:rPr>
              <w:t>小写：</w:t>
            </w:r>
          </w:p>
        </w:tc>
        <w:tc>
          <w:tcPr>
            <w:tcW w:w="462" w:type="pct"/>
            <w:vAlign w:val="center"/>
          </w:tcPr>
          <w:p>
            <w:pPr>
              <w:jc w:val="center"/>
              <w:rPr>
                <w:b/>
                <w:szCs w:val="21"/>
              </w:rPr>
            </w:pPr>
          </w:p>
        </w:tc>
      </w:tr>
    </w:tbl>
    <w:p>
      <w:pPr>
        <w:tabs>
          <w:tab w:val="clear" w:pos="426"/>
        </w:tabs>
        <w:jc w:val="left"/>
        <w:rPr>
          <w:u w:val="single"/>
        </w:rPr>
      </w:pPr>
    </w:p>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b/>
          <w:bCs/>
          <w:szCs w:val="21"/>
        </w:rPr>
      </w:pPr>
    </w:p>
    <w:p>
      <w:pPr>
        <w:tabs>
          <w:tab w:val="clear" w:pos="426"/>
        </w:tabs>
        <w:spacing w:line="400" w:lineRule="exact"/>
        <w:rPr>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adjustRightInd/>
        <w:snapToGrid/>
        <w:spacing w:before="280" w:after="290" w:line="377" w:lineRule="auto"/>
        <w:outlineLvl w:val="2"/>
        <w:rPr>
          <w:b/>
          <w:sz w:val="24"/>
        </w:rPr>
      </w:pPr>
      <w:r>
        <w:rPr>
          <w:b/>
        </w:rPr>
        <w:br w:type="page"/>
      </w:r>
      <w:bookmarkStart w:id="137" w:name="_Toc23484"/>
      <w:r>
        <w:rPr>
          <w:rFonts w:hint="eastAsia"/>
          <w:b/>
          <w:sz w:val="24"/>
        </w:rPr>
        <w:t>格式8：投标分项报价表</w:t>
      </w:r>
      <w:bookmarkEnd w:id="137"/>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（一）项目报价表</w:t>
      </w:r>
    </w:p>
    <w:p>
      <w:pPr>
        <w:tabs>
          <w:tab w:val="clear" w:pos="426"/>
        </w:tabs>
        <w:wordWrap w:val="0"/>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798"/>
        <w:gridCol w:w="1316"/>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pPr>
              <w:spacing w:line="240" w:lineRule="auto"/>
              <w:jc w:val="center"/>
              <w:rPr>
                <w:szCs w:val="21"/>
              </w:rPr>
            </w:pPr>
            <w:r>
              <w:rPr>
                <w:rFonts w:hint="eastAsia"/>
                <w:szCs w:val="21"/>
              </w:rPr>
              <w:t>序号</w:t>
            </w:r>
          </w:p>
        </w:tc>
        <w:tc>
          <w:tcPr>
            <w:tcW w:w="1347" w:type="dxa"/>
            <w:vAlign w:val="center"/>
          </w:tcPr>
          <w:p>
            <w:pPr>
              <w:spacing w:line="240" w:lineRule="auto"/>
              <w:jc w:val="center"/>
              <w:rPr>
                <w:szCs w:val="21"/>
              </w:rPr>
            </w:pPr>
            <w:r>
              <w:rPr>
                <w:rFonts w:hint="eastAsia"/>
                <w:szCs w:val="21"/>
              </w:rPr>
              <w:t>货物名称</w:t>
            </w:r>
          </w:p>
        </w:tc>
        <w:tc>
          <w:tcPr>
            <w:tcW w:w="1417" w:type="dxa"/>
            <w:vAlign w:val="center"/>
          </w:tcPr>
          <w:p>
            <w:pPr>
              <w:spacing w:line="240" w:lineRule="auto"/>
              <w:jc w:val="center"/>
              <w:rPr>
                <w:szCs w:val="21"/>
              </w:rPr>
            </w:pPr>
            <w:r>
              <w:rPr>
                <w:rFonts w:hint="eastAsia"/>
                <w:szCs w:val="21"/>
              </w:rPr>
              <w:t>规格/型号</w:t>
            </w:r>
          </w:p>
        </w:tc>
        <w:tc>
          <w:tcPr>
            <w:tcW w:w="851" w:type="dxa"/>
            <w:vAlign w:val="center"/>
          </w:tcPr>
          <w:p>
            <w:pPr>
              <w:spacing w:line="240" w:lineRule="auto"/>
              <w:jc w:val="center"/>
              <w:rPr>
                <w:b/>
                <w:szCs w:val="21"/>
              </w:rPr>
            </w:pPr>
            <w:r>
              <w:rPr>
                <w:rFonts w:hint="eastAsia"/>
                <w:b/>
                <w:szCs w:val="21"/>
              </w:rPr>
              <w:t>原产地</w:t>
            </w:r>
          </w:p>
        </w:tc>
        <w:tc>
          <w:tcPr>
            <w:tcW w:w="992" w:type="dxa"/>
            <w:vAlign w:val="center"/>
          </w:tcPr>
          <w:p>
            <w:pPr>
              <w:spacing w:line="240" w:lineRule="auto"/>
              <w:jc w:val="center"/>
              <w:rPr>
                <w:szCs w:val="21"/>
              </w:rPr>
            </w:pPr>
            <w:r>
              <w:rPr>
                <w:rFonts w:hint="eastAsia"/>
                <w:szCs w:val="21"/>
              </w:rPr>
              <w:t>制造商名称</w:t>
            </w:r>
          </w:p>
        </w:tc>
        <w:tc>
          <w:tcPr>
            <w:tcW w:w="709" w:type="dxa"/>
            <w:vAlign w:val="center"/>
          </w:tcPr>
          <w:p>
            <w:pPr>
              <w:spacing w:line="240" w:lineRule="auto"/>
              <w:jc w:val="center"/>
              <w:rPr>
                <w:szCs w:val="21"/>
              </w:rPr>
            </w:pPr>
            <w:r>
              <w:rPr>
                <w:rFonts w:hint="eastAsia"/>
                <w:szCs w:val="21"/>
              </w:rPr>
              <w:t>数量</w:t>
            </w:r>
          </w:p>
        </w:tc>
        <w:tc>
          <w:tcPr>
            <w:tcW w:w="737" w:type="dxa"/>
            <w:vAlign w:val="center"/>
          </w:tcPr>
          <w:p>
            <w:pPr>
              <w:spacing w:line="240" w:lineRule="auto"/>
              <w:jc w:val="center"/>
              <w:rPr>
                <w:szCs w:val="21"/>
              </w:rPr>
            </w:pPr>
            <w:r>
              <w:rPr>
                <w:rFonts w:hint="eastAsia"/>
                <w:szCs w:val="21"/>
              </w:rPr>
              <w:t>单位</w:t>
            </w:r>
          </w:p>
        </w:tc>
        <w:tc>
          <w:tcPr>
            <w:tcW w:w="798" w:type="dxa"/>
            <w:vAlign w:val="center"/>
          </w:tcPr>
          <w:p>
            <w:pPr>
              <w:spacing w:line="240" w:lineRule="auto"/>
              <w:jc w:val="center"/>
              <w:rPr>
                <w:szCs w:val="21"/>
              </w:rPr>
            </w:pPr>
            <w:r>
              <w:rPr>
                <w:rFonts w:hint="eastAsia"/>
                <w:szCs w:val="21"/>
              </w:rPr>
              <w:t>是否核心产品</w:t>
            </w:r>
          </w:p>
        </w:tc>
        <w:tc>
          <w:tcPr>
            <w:tcW w:w="1316" w:type="dxa"/>
            <w:vAlign w:val="center"/>
          </w:tcPr>
          <w:p>
            <w:pPr>
              <w:spacing w:line="240" w:lineRule="auto"/>
              <w:jc w:val="center"/>
              <w:rPr>
                <w:szCs w:val="21"/>
              </w:rPr>
            </w:pPr>
            <w:r>
              <w:rPr>
                <w:rFonts w:hint="eastAsia"/>
                <w:szCs w:val="21"/>
              </w:rPr>
              <w:t>单价(元)</w:t>
            </w:r>
          </w:p>
        </w:tc>
        <w:tc>
          <w:tcPr>
            <w:tcW w:w="1276" w:type="dxa"/>
            <w:vAlign w:val="center"/>
          </w:tcPr>
          <w:p>
            <w:pPr>
              <w:spacing w:line="240" w:lineRule="auto"/>
              <w:jc w:val="center"/>
              <w:rPr>
                <w:szCs w:val="21"/>
              </w:rPr>
            </w:pPr>
            <w:r>
              <w:rPr>
                <w:rFonts w:hint="eastAsia"/>
                <w:szCs w:val="21"/>
              </w:rPr>
              <w:t>合价(元)</w:t>
            </w:r>
          </w:p>
        </w:tc>
        <w:tc>
          <w:tcPr>
            <w:tcW w:w="1082" w:type="dxa"/>
            <w:vAlign w:val="center"/>
          </w:tcPr>
          <w:p>
            <w:pPr>
              <w:spacing w:line="240" w:lineRule="auto"/>
              <w:jc w:val="center"/>
              <w:rPr>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7" w:type="dxa"/>
            <w:gridSpan w:val="9"/>
            <w:vAlign w:val="center"/>
          </w:tcPr>
          <w:p>
            <w:pPr>
              <w:spacing w:line="240" w:lineRule="auto"/>
              <w:jc w:val="left"/>
              <w:rPr>
                <w:sz w:val="24"/>
              </w:rPr>
            </w:pPr>
            <w:r>
              <w:rPr>
                <w:rFonts w:hint="eastAsia"/>
                <w:sz w:val="24"/>
              </w:rPr>
              <w:t>合计（即：投标总价；币种：人民币；单位：元）：大写：</w:t>
            </w: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bl>
    <w:p>
      <w:pPr>
        <w:spacing w:line="240" w:lineRule="auto"/>
        <w:rPr>
          <w:b/>
          <w:sz w:val="24"/>
        </w:rPr>
      </w:pPr>
    </w:p>
    <w:p>
      <w:pPr>
        <w:spacing w:line="240" w:lineRule="auto"/>
        <w:rPr>
          <w:b/>
          <w:sz w:val="24"/>
        </w:rPr>
      </w:pPr>
      <w:r>
        <w:rPr>
          <w:rFonts w:hint="eastAsia"/>
          <w:b/>
          <w:sz w:val="24"/>
        </w:rPr>
        <w:t>备注：</w:t>
      </w:r>
    </w:p>
    <w:p>
      <w:pPr>
        <w:spacing w:line="240" w:lineRule="auto"/>
        <w:ind w:firstLine="424" w:firstLineChars="176"/>
        <w:rPr>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rPr>
      </w:pPr>
      <w:r>
        <w:rPr>
          <w:rFonts w:hint="eastAsia"/>
          <w:b/>
          <w:sz w:val="24"/>
        </w:rPr>
        <w:t>4.“原产地”是指该产品的实际生产加工地，而非品牌总公司所在地。</w:t>
      </w:r>
    </w:p>
    <w:p>
      <w:pPr>
        <w:spacing w:line="240" w:lineRule="auto"/>
        <w:ind w:firstLine="424" w:firstLineChars="176"/>
        <w:rPr>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cs="Times New Roman"/>
          <w:b/>
          <w:bCs/>
          <w:kern w:val="2"/>
          <w:sz w:val="28"/>
          <w:szCs w:val="28"/>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（二）核心产品的品牌情况</w:t>
      </w:r>
    </w:p>
    <w:p>
      <w:pPr>
        <w:widowControl w:val="0"/>
        <w:shd w:val="clear" w:color="auto" w:fill="auto"/>
        <w:tabs>
          <w:tab w:val="clear" w:pos="426"/>
        </w:tabs>
        <w:adjustRightInd/>
        <w:snapToGrid/>
        <w:spacing w:line="300" w:lineRule="auto"/>
        <w:jc w:val="left"/>
        <w:rPr>
          <w:b/>
          <w:sz w:val="24"/>
        </w:rPr>
      </w:pPr>
      <w:r>
        <w:rPr>
          <w:rFonts w:hint="eastAsia"/>
          <w:b/>
          <w:sz w:val="24"/>
        </w:rPr>
        <w:t>我公司所投核心产品的品牌为：</w:t>
      </w:r>
      <w:r>
        <w:rPr>
          <w:rFonts w:hint="eastAsia"/>
          <w:b/>
          <w:sz w:val="24"/>
          <w:u w:val="single"/>
        </w:rPr>
        <w:t xml:space="preserve"> </w:t>
      </w:r>
      <w:r>
        <w:rPr>
          <w:b/>
          <w:sz w:val="24"/>
          <w:u w:val="single"/>
        </w:rPr>
        <w:t xml:space="preserve">          </w:t>
      </w:r>
      <w:r>
        <w:rPr>
          <w:rFonts w:hint="eastAsia"/>
          <w:b/>
          <w:sz w:val="24"/>
        </w:rPr>
        <w:t>。</w:t>
      </w:r>
    </w:p>
    <w:p>
      <w:pPr>
        <w:widowControl w:val="0"/>
        <w:shd w:val="clear" w:color="auto" w:fill="auto"/>
        <w:tabs>
          <w:tab w:val="clear" w:pos="426"/>
        </w:tabs>
        <w:adjustRightInd/>
        <w:snapToGrid/>
        <w:spacing w:line="300" w:lineRule="auto"/>
        <w:jc w:val="left"/>
        <w:rPr>
          <w:b/>
          <w:sz w:val="24"/>
        </w:rPr>
      </w:pPr>
      <w:r>
        <w:rPr>
          <w:rFonts w:hint="eastAsia"/>
          <w:b/>
          <w:sz w:val="24"/>
        </w:rPr>
        <w:t>备注：招标文件未列明核心品牌的，无需填写该项。</w:t>
      </w:r>
    </w:p>
    <w:p>
      <w:pPr>
        <w:widowControl w:val="0"/>
        <w:shd w:val="clear" w:color="auto" w:fill="auto"/>
        <w:tabs>
          <w:tab w:val="clear" w:pos="426"/>
        </w:tabs>
        <w:adjustRightInd/>
        <w:snapToGrid/>
        <w:spacing w:line="300" w:lineRule="auto"/>
        <w:jc w:val="center"/>
        <w:rPr>
          <w:rFonts w:cs="Times New Roman"/>
          <w:b/>
          <w:bCs/>
          <w:kern w:val="2"/>
          <w:sz w:val="28"/>
          <w:szCs w:val="28"/>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（三）可选配件报价清单（不包括在总报价内）</w:t>
      </w:r>
    </w:p>
    <w:p>
      <w:pPr>
        <w:tabs>
          <w:tab w:val="clear" w:pos="426"/>
        </w:tabs>
        <w:spacing w:line="500" w:lineRule="exact"/>
        <w:rPr>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（四）供应商认为需要涉及的其他内容报价清单</w:t>
      </w:r>
    </w:p>
    <w:p>
      <w:pPr>
        <w:tabs>
          <w:tab w:val="clear" w:pos="426"/>
        </w:tabs>
        <w:spacing w:line="500" w:lineRule="exact"/>
        <w:rPr>
          <w:spacing w:val="4"/>
        </w:rPr>
      </w:pPr>
    </w:p>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b/>
          <w:sz w:val="24"/>
        </w:rPr>
      </w:pPr>
      <w:r>
        <w:rPr>
          <w:rFonts w:hint="eastAsia"/>
          <w:b/>
          <w:sz w:val="24"/>
        </w:rPr>
        <w:br w:type="page"/>
      </w:r>
    </w:p>
    <w:p>
      <w:pPr>
        <w:adjustRightInd/>
        <w:snapToGrid/>
        <w:spacing w:before="280" w:after="290" w:line="377" w:lineRule="auto"/>
        <w:outlineLvl w:val="2"/>
        <w:rPr>
          <w:b/>
          <w:sz w:val="24"/>
        </w:rPr>
      </w:pPr>
      <w:bookmarkStart w:id="138" w:name="_Toc9437"/>
      <w:r>
        <w:rPr>
          <w:rFonts w:hint="eastAsia"/>
          <w:b/>
          <w:sz w:val="24"/>
        </w:rPr>
        <w:t>格式9：</w:t>
      </w:r>
      <w:bookmarkEnd w:id="138"/>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9" w:name="OLE_LINK1"/>
      <w:r>
        <w:rPr>
          <w:rFonts w:hint="eastAsia" w:ascii="Times New Roman" w:hAnsi="Times New Roman" w:cs="Times New Roman"/>
          <w:bCs/>
          <w:kern w:val="2"/>
          <w:sz w:val="32"/>
          <w:szCs w:val="32"/>
        </w:rPr>
        <w:t>技术规格偏离表</w:t>
      </w:r>
    </w:p>
    <w:bookmarkEnd w:id="139"/>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40"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40"/>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41" w:name="OLE_LINK2"/>
      <w:r>
        <w:rPr>
          <w:rFonts w:hint="eastAsia" w:ascii="Times New Roman" w:hAnsi="Times New Roman" w:cs="Times New Roman"/>
          <w:bCs/>
        </w:rPr>
        <w:t>带★招标技术要求，不允许有任何负偏离，否则将作投标无效处理。</w:t>
      </w:r>
    </w:p>
    <w:bookmarkEnd w:id="141"/>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b/>
          <w:sz w:val="24"/>
        </w:rPr>
      </w:pPr>
      <w:bookmarkStart w:id="142" w:name="_Toc25758"/>
      <w:r>
        <w:rPr>
          <w:rFonts w:hint="eastAsia"/>
          <w:b/>
          <w:sz w:val="24"/>
        </w:rPr>
        <w:t>格式10：技术保障措施</w:t>
      </w:r>
      <w:bookmarkEnd w:id="142"/>
    </w:p>
    <w:p>
      <w:pPr>
        <w:adjustRightInd/>
        <w:snapToGrid/>
        <w:spacing w:before="280" w:after="290" w:line="377" w:lineRule="auto"/>
        <w:outlineLvl w:val="2"/>
        <w:rPr>
          <w:b/>
          <w:sz w:val="24"/>
        </w:rPr>
      </w:pPr>
      <w:bookmarkStart w:id="143" w:name="_Toc19609"/>
      <w:r>
        <w:rPr>
          <w:rFonts w:hint="eastAsia"/>
          <w:b/>
          <w:sz w:val="24"/>
        </w:rPr>
        <w:t>格式11：售后服务方案</w:t>
      </w:r>
      <w:bookmarkEnd w:id="143"/>
    </w:p>
    <w:p>
      <w:pPr>
        <w:tabs>
          <w:tab w:val="clear" w:pos="426"/>
        </w:tabs>
        <w:spacing w:line="440" w:lineRule="exact"/>
        <w:rPr>
          <w:b/>
          <w:bCs/>
        </w:rPr>
      </w:pPr>
    </w:p>
    <w:p>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p>
    <w:p/>
    <w:p>
      <w:pPr>
        <w:tabs>
          <w:tab w:val="clear" w:pos="426"/>
        </w:tabs>
        <w:spacing w:line="240" w:lineRule="auto"/>
        <w:ind w:firstLine="424" w:firstLineChars="202"/>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b/>
          <w:sz w:val="24"/>
        </w:rPr>
      </w:pPr>
      <w:bookmarkStart w:id="144" w:name="_Toc29923"/>
      <w:r>
        <w:rPr>
          <w:rFonts w:hint="eastAsia"/>
          <w:b/>
          <w:sz w:val="24"/>
        </w:rPr>
        <w:t>格式12：商务条款偏离表</w:t>
      </w:r>
      <w:bookmarkEnd w:id="144"/>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pPr>
      <w:r>
        <w:rPr>
          <w:rFonts w:ascii="Times New Roman" w:hAnsi="Times New Roman" w:cs="Times New Roman"/>
        </w:rPr>
        <w:t>6.交货期条款为不可负偏离条款，投标文件响应为“负偏离”的，投标文件将按无效投标处理。</w:t>
      </w:r>
    </w:p>
    <w:p>
      <w:r>
        <w:rPr>
          <w:rFonts w:hint="eastAsia"/>
        </w:rPr>
        <w:br w:type="page"/>
      </w:r>
    </w:p>
    <w:p>
      <w:pPr>
        <w:adjustRightInd/>
        <w:snapToGrid/>
        <w:spacing w:before="280" w:after="290" w:line="377" w:lineRule="auto"/>
        <w:outlineLvl w:val="2"/>
        <w:rPr>
          <w:b/>
          <w:sz w:val="24"/>
        </w:rPr>
      </w:pPr>
      <w:bookmarkStart w:id="145" w:name="_Toc6533"/>
      <w:r>
        <w:rPr>
          <w:rFonts w:hint="eastAsia"/>
          <w:b/>
          <w:sz w:val="24"/>
        </w:rPr>
        <w:t>格式13：投标人综合概况简表</w:t>
      </w:r>
      <w:bookmarkEnd w:id="145"/>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b/>
          <w:bCs/>
        </w:rPr>
      </w:pPr>
    </w:p>
    <w:p>
      <w:pPr>
        <w:rPr>
          <w:b/>
          <w:bCs/>
        </w:rPr>
      </w:pPr>
      <w:r>
        <w:rPr>
          <w:rFonts w:hint="eastAsia"/>
          <w:b/>
          <w:bCs/>
        </w:rPr>
        <w:br w:type="page"/>
      </w:r>
    </w:p>
    <w:p>
      <w:pPr>
        <w:adjustRightInd/>
        <w:snapToGrid/>
        <w:spacing w:before="280" w:after="290" w:line="377" w:lineRule="auto"/>
        <w:outlineLvl w:val="2"/>
        <w:rPr>
          <w:b/>
          <w:sz w:val="24"/>
        </w:rPr>
      </w:pPr>
      <w:bookmarkStart w:id="146" w:name="_Toc22664"/>
      <w:r>
        <w:rPr>
          <w:rFonts w:hint="eastAsia"/>
          <w:b/>
          <w:sz w:val="24"/>
        </w:rPr>
        <w:t>格式14：企业类型声明函</w:t>
      </w:r>
      <w:bookmarkEnd w:id="146"/>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szCs w:val="21"/>
        </w:rPr>
      </w:pPr>
      <w:r>
        <w:rPr>
          <w:rFonts w:hint="eastAsia"/>
          <w:szCs w:val="21"/>
        </w:rPr>
        <w:br w:type="page"/>
      </w:r>
    </w:p>
    <w:p>
      <w:pPr>
        <w:adjustRightInd/>
        <w:snapToGrid/>
        <w:spacing w:before="280" w:after="290" w:line="377" w:lineRule="auto"/>
        <w:outlineLvl w:val="2"/>
        <w:rPr>
          <w:b/>
          <w:sz w:val="24"/>
        </w:rPr>
      </w:pPr>
      <w:bookmarkStart w:id="147" w:name="_Toc17528"/>
      <w:r>
        <w:rPr>
          <w:rFonts w:hint="eastAsia"/>
          <w:b/>
          <w:sz w:val="24"/>
        </w:rPr>
        <w:t>格式15：残疾人福利性单位声明函</w:t>
      </w:r>
      <w:bookmarkEnd w:id="147"/>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b/>
          <w:bCs/>
        </w:rPr>
      </w:pPr>
    </w:p>
    <w:p>
      <w:pPr>
        <w:shd w:val="clear" w:color="auto" w:fill="auto"/>
        <w:tabs>
          <w:tab w:val="clear" w:pos="426"/>
        </w:tabs>
        <w:adjustRightInd/>
        <w:snapToGrid/>
        <w:spacing w:line="240" w:lineRule="auto"/>
        <w:jc w:val="left"/>
        <w:rPr>
          <w:b/>
          <w:bCs/>
        </w:rPr>
      </w:pPr>
      <w:r>
        <w:rPr>
          <w:rFonts w:hint="eastAsia"/>
          <w:b/>
          <w:bCs/>
        </w:rPr>
        <w:br w:type="page"/>
      </w:r>
    </w:p>
    <w:p>
      <w:pPr>
        <w:adjustRightInd/>
        <w:snapToGrid/>
        <w:spacing w:before="280" w:after="290" w:line="377" w:lineRule="auto"/>
        <w:outlineLvl w:val="2"/>
        <w:rPr>
          <w:b/>
          <w:sz w:val="24"/>
        </w:rPr>
      </w:pPr>
      <w:bookmarkStart w:id="148" w:name="_Toc14001"/>
      <w:r>
        <w:rPr>
          <w:rFonts w:hint="eastAsia"/>
          <w:b/>
          <w:sz w:val="24"/>
        </w:rPr>
        <w:t>格式16：同类项目业绩情况</w:t>
      </w:r>
      <w:bookmarkEnd w:id="148"/>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b/>
                <w:bCs/>
              </w:rPr>
              <w:t>……</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bl>
    <w:p>
      <w:pPr>
        <w:tabs>
          <w:tab w:val="clear" w:pos="426"/>
        </w:tabs>
        <w:spacing w:line="440" w:lineRule="exact"/>
        <w:rPr>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b/>
          <w:bCs/>
        </w:rPr>
      </w:pPr>
      <w:r>
        <w:rPr>
          <w:rFonts w:hint="eastAsia"/>
          <w:b/>
          <w:bCs/>
        </w:rPr>
        <w:br w:type="page"/>
      </w:r>
    </w:p>
    <w:p>
      <w:pPr>
        <w:adjustRightInd/>
        <w:snapToGrid/>
        <w:spacing w:before="280" w:after="290" w:line="377" w:lineRule="auto"/>
        <w:outlineLvl w:val="2"/>
        <w:rPr>
          <w:b/>
          <w:sz w:val="24"/>
        </w:rPr>
      </w:pPr>
      <w:bookmarkStart w:id="149" w:name="_Toc27416"/>
      <w:r>
        <w:rPr>
          <w:rFonts w:hint="eastAsia"/>
          <w:b/>
          <w:sz w:val="24"/>
        </w:rPr>
        <w:t>格式17：相关认证情况</w:t>
      </w:r>
      <w:bookmarkEnd w:id="149"/>
    </w:p>
    <w:p>
      <w:pPr>
        <w:tabs>
          <w:tab w:val="clear" w:pos="426"/>
        </w:tabs>
        <w:spacing w:line="440" w:lineRule="exact"/>
        <w:rPr>
          <w:b/>
          <w:bCs/>
        </w:rPr>
      </w:pPr>
    </w:p>
    <w:p>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bookmarkEnd w:id="104"/>
      <w:bookmarkEnd w:id="105"/>
      <w:bookmarkEnd w:id="106"/>
      <w:bookmarkEnd w:id="107"/>
    </w:p>
    <w:p>
      <w:pPr>
        <w:pStyle w:val="81"/>
        <w:tabs>
          <w:tab w:val="clear" w:pos="426"/>
        </w:tabs>
      </w:pPr>
      <w:r>
        <w:br w:type="page"/>
      </w:r>
      <w:bookmarkStart w:id="150" w:name="_Toc14427253"/>
      <w:bookmarkStart w:id="151" w:name="_Toc530152521"/>
      <w:bookmarkStart w:id="152" w:name="_Toc25882"/>
      <w:r>
        <w:rPr>
          <w:rFonts w:hint="eastAsia"/>
        </w:rPr>
        <w:t>招标文件第二册（通用</w:t>
      </w:r>
      <w:bookmarkEnd w:id="150"/>
      <w:bookmarkEnd w:id="151"/>
      <w:r>
        <w:rPr>
          <w:rFonts w:hint="eastAsia"/>
        </w:rPr>
        <w:t>部分）</w:t>
      </w:r>
      <w:bookmarkEnd w:id="152"/>
    </w:p>
    <w:p>
      <w:pPr>
        <w:jc w:val="center"/>
        <w:rPr>
          <w:b/>
        </w:rPr>
      </w:pPr>
      <w:r>
        <w:rPr>
          <w:rFonts w:hint="eastAsia"/>
          <w:b/>
        </w:rPr>
        <w:t>（投标供应商须知）</w:t>
      </w:r>
    </w:p>
    <w:p>
      <w:pPr>
        <w:pStyle w:val="5"/>
      </w:pPr>
      <w:bookmarkStart w:id="153" w:name="_Toc529280581"/>
      <w:bookmarkStart w:id="154" w:name="_Toc530152522"/>
      <w:bookmarkStart w:id="155" w:name="_Toc18466"/>
      <w:bookmarkStart w:id="156" w:name="_Toc14427254"/>
      <w:r>
        <w:rPr>
          <w:rFonts w:hint="eastAsia"/>
        </w:rPr>
        <w:t>第一章 总则</w:t>
      </w:r>
      <w:bookmarkEnd w:id="153"/>
      <w:bookmarkEnd w:id="154"/>
      <w:bookmarkEnd w:id="155"/>
      <w:bookmarkEnd w:id="156"/>
    </w:p>
    <w:p>
      <w:pPr>
        <w:tabs>
          <w:tab w:val="clear" w:pos="426"/>
        </w:tabs>
      </w:pPr>
      <w:r>
        <w:rPr>
          <w:rFonts w:hint="eastAsia"/>
        </w:rPr>
        <w:t>1.通用条款说明</w:t>
      </w:r>
    </w:p>
    <w:p>
      <w:pPr>
        <w:tabs>
          <w:tab w:val="clear" w:pos="426"/>
        </w:tabs>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pPr>
      <w:r>
        <w:rPr>
          <w:rFonts w:hint="eastAsia"/>
        </w:rPr>
        <w:t>2</w:t>
      </w:r>
      <w:r>
        <w:t>．</w:t>
      </w:r>
      <w:r>
        <w:rPr>
          <w:rFonts w:hint="eastAsia"/>
        </w:rPr>
        <w:t>招标说明</w:t>
      </w:r>
    </w:p>
    <w:p>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szCs w:val="21"/>
        </w:rPr>
      </w:pPr>
      <w:r>
        <w:rPr>
          <w:rFonts w:hint="eastAsia"/>
          <w:szCs w:val="21"/>
        </w:rPr>
        <w:t>本招标文件的解释权归属深圳市深水水务咨询有限公司。</w:t>
      </w:r>
    </w:p>
    <w:p>
      <w:pPr>
        <w:tabs>
          <w:tab w:val="clear" w:pos="426"/>
        </w:tabs>
      </w:pPr>
      <w:r>
        <w:t>3．定义</w:t>
      </w:r>
    </w:p>
    <w:p>
      <w:pPr>
        <w:tabs>
          <w:tab w:val="clear" w:pos="426"/>
        </w:tabs>
      </w:pPr>
      <w:r>
        <w:t>招标文件中下列术语应解释为：</w:t>
      </w:r>
    </w:p>
    <w:p>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t xml:space="preserve">3.2“采购人”或“采购单位”：系指利用财政性资金依法进行采购的国家机关、事业单位、团体组织； </w:t>
      </w:r>
    </w:p>
    <w:p>
      <w:pPr>
        <w:tabs>
          <w:tab w:val="clear" w:pos="426"/>
        </w:tabs>
      </w:pPr>
      <w:r>
        <w:t>3.3“投标供应商”或“投标方”，即供应商，是指参加投标竞争并愿意按照招标文件要求向采购人提供货物、工程或者服务的依法成立的法人、其他组织或者自然人；</w:t>
      </w:r>
    </w:p>
    <w:p>
      <w:pPr>
        <w:tabs>
          <w:tab w:val="clear" w:pos="426"/>
        </w:tabs>
      </w:pPr>
      <w:r>
        <w:t>3.4“评标委员会”和“谈判小组”是依据有关规定组建的专门负责本次招标其评标（谈判）工作的临时性机构；</w:t>
      </w:r>
    </w:p>
    <w:p>
      <w:pPr>
        <w:tabs>
          <w:tab w:val="clear" w:pos="426"/>
        </w:tabs>
      </w:pPr>
      <w:r>
        <w:t>3.5“日期”指</w:t>
      </w:r>
      <w:r>
        <w:rPr>
          <w:rFonts w:hint="eastAsia"/>
        </w:rPr>
        <w:t>公历日；</w:t>
      </w:r>
    </w:p>
    <w:p>
      <w:pPr>
        <w:tabs>
          <w:tab w:val="clear" w:pos="426"/>
        </w:tabs>
      </w:pPr>
      <w:r>
        <w:t>3.6“合同”指由本次招标所产生的合同或合约文件；</w:t>
      </w:r>
    </w:p>
    <w:p>
      <w:pPr>
        <w:tabs>
          <w:tab w:val="clear" w:pos="426"/>
        </w:tabs>
      </w:pPr>
      <w:r>
        <w:t>3.7招标文件中的标题或题名仅起引导作用，而不应视为对招标文件内容的理解和解释。</w:t>
      </w:r>
    </w:p>
    <w:p>
      <w:pPr>
        <w:tabs>
          <w:tab w:val="clear" w:pos="426"/>
        </w:tabs>
      </w:pPr>
      <w:r>
        <w:t>4.</w:t>
      </w:r>
      <w:r>
        <w:rPr>
          <w:rFonts w:hint="eastAsia"/>
        </w:rPr>
        <w:t>供应商责任</w:t>
      </w:r>
    </w:p>
    <w:p>
      <w:pPr>
        <w:tabs>
          <w:tab w:val="clear" w:pos="426"/>
        </w:tabs>
      </w:pPr>
      <w:r>
        <w:t>4.1欢迎诚信、有实力和有社会责任心的供应商参与采购事业。</w:t>
      </w:r>
    </w:p>
    <w:p>
      <w:pPr>
        <w:tabs>
          <w:tab w:val="clear" w:pos="426"/>
        </w:tabs>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pPr>
      <w:r>
        <w:t>5．合格的投标供应商</w:t>
      </w:r>
    </w:p>
    <w:p>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szCs w:val="21"/>
        </w:rPr>
      </w:pPr>
      <w:r>
        <w:rPr>
          <w:szCs w:val="21"/>
        </w:rPr>
        <w:t>5.2.1 具有独立承担民事责任的能力。</w:t>
      </w:r>
    </w:p>
    <w:p>
      <w:pPr>
        <w:widowControl w:val="0"/>
        <w:shd w:val="clear" w:color="auto" w:fill="auto"/>
        <w:tabs>
          <w:tab w:val="clear" w:pos="426"/>
        </w:tabs>
        <w:autoSpaceDE w:val="0"/>
        <w:autoSpaceDN w:val="0"/>
        <w:rPr>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pPr>
        <w:tabs>
          <w:tab w:val="clear" w:pos="426"/>
        </w:tabs>
      </w:pPr>
      <w:r>
        <w:t>6．联合体投标</w:t>
      </w:r>
    </w:p>
    <w:p>
      <w:pPr>
        <w:tabs>
          <w:tab w:val="clear" w:pos="426"/>
        </w:tabs>
      </w:pPr>
      <w:r>
        <w:t>6.1　以下有关联合体投标的条款仅适用于允许投标供应商组成联合体投标的项目。</w:t>
      </w:r>
    </w:p>
    <w:p>
      <w:pPr>
        <w:tabs>
          <w:tab w:val="clear" w:pos="426"/>
        </w:tabs>
      </w:pPr>
      <w:r>
        <w:t>6.2　由两个或两个以上的自然人、法人或者其他组织可以组成一个联合体，以一个供应商的身份共同投标时，应符合以下原则：</w:t>
      </w:r>
    </w:p>
    <w:p>
      <w:pPr>
        <w:tabs>
          <w:tab w:val="clear" w:pos="426"/>
        </w:tabs>
      </w:pPr>
      <w:r>
        <w:t>6.2.</w:t>
      </w:r>
      <w:r>
        <w:rPr>
          <w:bCs/>
        </w:rPr>
        <w:t>1投标联合体应满足采购公告有关投标供应商资格要求中对联合体的要求；</w:t>
      </w:r>
    </w:p>
    <w:p>
      <w:pPr>
        <w:tabs>
          <w:tab w:val="clear" w:pos="426"/>
        </w:tabs>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pPr>
      <w:r>
        <w:t>6.2.3投标供应商的投标文件及中标后签署的合同协议对联合体各方均具法律约束力；</w:t>
      </w:r>
    </w:p>
    <w:p>
      <w:pPr>
        <w:tabs>
          <w:tab w:val="clear" w:pos="426"/>
        </w:tabs>
      </w:pPr>
      <w:r>
        <w:t>6.2.4联合体各方应当签订共同投标协议，明确约定各方拟承担的工作和责任，并将该共同投标协议随投标文件一并递交给代理机构；</w:t>
      </w:r>
    </w:p>
    <w:p>
      <w:pPr>
        <w:tabs>
          <w:tab w:val="clear" w:pos="426"/>
        </w:tabs>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pPr>
      <w:r>
        <w:t>6.2.7除非另有规定或说明，本须知中“投标供应商”一词亦指联合体各方。</w:t>
      </w:r>
    </w:p>
    <w:p>
      <w:pPr>
        <w:tabs>
          <w:tab w:val="clear" w:pos="426"/>
        </w:tabs>
      </w:pPr>
      <w:r>
        <w:t xml:space="preserve">7. </w:t>
      </w:r>
      <w:r>
        <w:rPr>
          <w:rFonts w:hint="eastAsia"/>
        </w:rPr>
        <w:t>合格的服务和货物</w:t>
      </w:r>
    </w:p>
    <w:p>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pPr>
      <w:r>
        <w:t>8．投标费用</w:t>
      </w:r>
    </w:p>
    <w:p>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r>
        <w:t>9．踏勘现场</w:t>
      </w:r>
    </w:p>
    <w:p>
      <w:pPr>
        <w:tabs>
          <w:tab w:val="clear" w:pos="426"/>
        </w:tabs>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pPr>
      <w:r>
        <w:t>9.2投标供应商及其人员经过采购单位的允许，可以踏勘目的进入采购单位的项目现场。若本项目招标文件要求投标供应商于统一时间地点踏勘现场的，投标供应商按时前往。</w:t>
      </w:r>
    </w:p>
    <w:p>
      <w:pPr>
        <w:tabs>
          <w:tab w:val="clear" w:pos="426"/>
        </w:tabs>
      </w:pPr>
      <w:r>
        <w:t>9.3采购单位必须通过采购代理机构向投标供应商提供有关现场的资料和数据。</w:t>
      </w:r>
    </w:p>
    <w:p>
      <w:pPr>
        <w:tabs>
          <w:tab w:val="clear" w:pos="426"/>
        </w:tabs>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pPr>
      <w:r>
        <w:t xml:space="preserve">9.5 </w:t>
      </w:r>
      <w:r>
        <w:rPr>
          <w:rFonts w:hint="eastAsia"/>
        </w:rPr>
        <w:t>未参与现场踏勘不作为否定投标供应商资格的理由。</w:t>
      </w:r>
    </w:p>
    <w:p>
      <w:pPr>
        <w:tabs>
          <w:tab w:val="clear" w:pos="426"/>
        </w:tabs>
      </w:pPr>
      <w:r>
        <w:t>10．招标答疑</w:t>
      </w:r>
    </w:p>
    <w:p>
      <w:pPr>
        <w:tabs>
          <w:tab w:val="clear" w:pos="426"/>
        </w:tabs>
      </w:pPr>
      <w:r>
        <w:t>10.1招标答疑的目的是澄清、解答投标供应商在查阅招标文件后或现场踏勘中可能提出的与投标有关的疑问或询问。</w:t>
      </w:r>
    </w:p>
    <w:p>
      <w:pPr>
        <w:tabs>
          <w:tab w:val="clear" w:pos="426"/>
        </w:tabs>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pPr>
      <w:r>
        <w:t>10.5未参与招标答疑不作为否定投标供应商资格的理由。</w:t>
      </w:r>
    </w:p>
    <w:p>
      <w:pPr>
        <w:pStyle w:val="5"/>
        <w:tabs>
          <w:tab w:val="clear" w:pos="426"/>
        </w:tabs>
      </w:pPr>
      <w:bookmarkStart w:id="157" w:name="_Toc10191"/>
      <w:bookmarkStart w:id="158" w:name="_Toc529280582"/>
      <w:bookmarkStart w:id="159" w:name="_Toc530152523"/>
      <w:bookmarkStart w:id="160" w:name="_Toc14427255"/>
      <w:r>
        <w:rPr>
          <w:rFonts w:hint="eastAsia"/>
        </w:rPr>
        <w:t>第二章 招标文件</w:t>
      </w:r>
      <w:bookmarkEnd w:id="157"/>
      <w:bookmarkEnd w:id="158"/>
      <w:bookmarkEnd w:id="159"/>
      <w:bookmarkEnd w:id="160"/>
    </w:p>
    <w:p>
      <w:pPr>
        <w:tabs>
          <w:tab w:val="clear" w:pos="426"/>
        </w:tabs>
      </w:pPr>
      <w:r>
        <w:t>11．招标文件的编制与组成</w:t>
      </w:r>
    </w:p>
    <w:p>
      <w:pPr>
        <w:tabs>
          <w:tab w:val="clear" w:pos="426"/>
        </w:tabs>
      </w:pPr>
      <w:r>
        <w:t>11.1招标文件除以下内容外，采购代理机构在招标（或谈判）期间发出的答疑纪要和其他补充修改函件，均是招标文件的组成部分，对投标供应商起约束作用；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招标文件第一册（专用部分）</w:t>
      </w:r>
    </w:p>
    <w:p>
      <w:pPr>
        <w:tabs>
          <w:tab w:val="clear" w:pos="426"/>
        </w:tabs>
      </w:pPr>
      <w:r>
        <w:rPr>
          <w:rFonts w:hint="eastAsia"/>
        </w:rPr>
        <w:t>第一章 投标邀请</w:t>
      </w:r>
    </w:p>
    <w:p>
      <w:pPr>
        <w:tabs>
          <w:tab w:val="clear" w:pos="426"/>
        </w:tabs>
      </w:pPr>
      <w:r>
        <w:rPr>
          <w:rFonts w:hint="eastAsia"/>
        </w:rPr>
        <w:t>第二章 项目需求</w:t>
      </w:r>
    </w:p>
    <w:p>
      <w:pPr>
        <w:tabs>
          <w:tab w:val="clear" w:pos="426"/>
        </w:tabs>
      </w:pPr>
      <w:r>
        <w:rPr>
          <w:rFonts w:hint="eastAsia"/>
        </w:rPr>
        <w:t>第三章 定价方式、合同类型和风险管理措施</w:t>
      </w:r>
    </w:p>
    <w:p>
      <w:pPr>
        <w:tabs>
          <w:tab w:val="clear" w:pos="426"/>
        </w:tabs>
      </w:pPr>
      <w:r>
        <w:rPr>
          <w:rFonts w:hint="eastAsia"/>
        </w:rPr>
        <w:t>第四章 资格审查和评标方法</w:t>
      </w:r>
    </w:p>
    <w:p>
      <w:pPr>
        <w:tabs>
          <w:tab w:val="clear" w:pos="426"/>
        </w:tabs>
      </w:pPr>
      <w:r>
        <w:rPr>
          <w:rFonts w:hint="eastAsia"/>
        </w:rPr>
        <w:t>第五章 合同文本</w:t>
      </w:r>
    </w:p>
    <w:p>
      <w:pPr>
        <w:tabs>
          <w:tab w:val="clear" w:pos="426"/>
        </w:tabs>
      </w:pPr>
      <w:r>
        <w:rPr>
          <w:rFonts w:hint="eastAsia"/>
        </w:rPr>
        <w:t>第六章 投标资料表</w:t>
      </w:r>
    </w:p>
    <w:p>
      <w:pPr>
        <w:tabs>
          <w:tab w:val="clear" w:pos="426"/>
        </w:tabs>
      </w:pPr>
      <w:r>
        <w:rPr>
          <w:rFonts w:hint="eastAsia"/>
        </w:rPr>
        <w:t>第七章 投标文件格式</w:t>
      </w:r>
    </w:p>
    <w:p>
      <w:pPr>
        <w:tabs>
          <w:tab w:val="clear" w:pos="426"/>
        </w:tabs>
      </w:pPr>
      <w:r>
        <w:rPr>
          <w:rFonts w:hint="eastAsia"/>
        </w:rPr>
        <w:t>招标文件第二册（通用部分）</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质疑受理</w:t>
      </w:r>
    </w:p>
    <w:p>
      <w:pPr>
        <w:tabs>
          <w:tab w:val="clear" w:pos="426"/>
        </w:tabs>
      </w:pPr>
      <w:r>
        <w:rPr>
          <w:rFonts w:hint="eastAsia"/>
        </w:rPr>
        <w:t>招标代理服务取费说明</w:t>
      </w:r>
    </w:p>
    <w:p>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pPr>
      <w:r>
        <w:t>12．招标文件的澄清</w:t>
      </w:r>
    </w:p>
    <w:p>
      <w:pPr>
        <w:tabs>
          <w:tab w:val="clear" w:pos="426"/>
        </w:tabs>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pPr>
      <w:r>
        <w:t>12.2对于没有提出澄清又参与了该项目投标的供应商将被视为完全认同该招标文件（含澄清纪要），投标截止期后不再受理针对招标文件的相关质疑或投诉。</w:t>
      </w:r>
    </w:p>
    <w:p>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pPr>
      <w:r>
        <w:t>13．招标文件的修改</w:t>
      </w:r>
    </w:p>
    <w:p>
      <w:pPr>
        <w:tabs>
          <w:tab w:val="clear" w:pos="426"/>
        </w:tabs>
      </w:pPr>
      <w:r>
        <w:t>13.1招标文件发出后，在投标截止日期前任何时候，确需要变更招标内容的，采购代理机构可主动地或在解答投标供应商提出的澄清问题时对招标文件进行修改；</w:t>
      </w:r>
    </w:p>
    <w:p>
      <w:pPr>
        <w:tabs>
          <w:tab w:val="clear" w:pos="426"/>
        </w:tabs>
      </w:pPr>
      <w:r>
        <w:t>13.2招标文件的修改以书面形式（包括网站公开发布方式）发送给所有投标供应商，招标文件的修改内容作为招标文件的组成部分，并具有约束力。</w:t>
      </w:r>
    </w:p>
    <w:p>
      <w:pPr>
        <w:tabs>
          <w:tab w:val="clear" w:pos="426"/>
        </w:tabs>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pPr>
      <w:bookmarkStart w:id="161" w:name="_Toc530152524"/>
      <w:bookmarkStart w:id="162" w:name="_Toc15015"/>
      <w:bookmarkStart w:id="163" w:name="_Toc529280583"/>
      <w:bookmarkStart w:id="164" w:name="_Toc14427256"/>
      <w:r>
        <w:rPr>
          <w:rFonts w:hint="eastAsia"/>
        </w:rPr>
        <w:t>第三章 投标文件的编制与递交</w:t>
      </w:r>
      <w:bookmarkEnd w:id="161"/>
      <w:bookmarkEnd w:id="162"/>
      <w:bookmarkEnd w:id="163"/>
      <w:bookmarkEnd w:id="164"/>
    </w:p>
    <w:p>
      <w:pPr>
        <w:tabs>
          <w:tab w:val="clear" w:pos="426"/>
        </w:tabs>
      </w:pPr>
      <w:r>
        <w:t>14．投标文件的语言及度量单位</w:t>
      </w:r>
    </w:p>
    <w:p>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pPr>
      <w:r>
        <w:t xml:space="preserve">14.2 </w:t>
      </w:r>
      <w:r>
        <w:rPr>
          <w:rFonts w:hint="eastAsia"/>
        </w:rPr>
        <w:t>除技术规范另有规定外，投标文件使用的度量单位，均采用中华人民共和国法定计量单位。</w:t>
      </w:r>
    </w:p>
    <w:p>
      <w:pPr>
        <w:tabs>
          <w:tab w:val="clear" w:pos="426"/>
        </w:tabs>
      </w:pPr>
      <w:r>
        <w:t>15．投标文件的组成</w:t>
      </w:r>
    </w:p>
    <w:p>
      <w:pPr>
        <w:tabs>
          <w:tab w:val="clear" w:pos="426"/>
        </w:tabs>
      </w:pPr>
      <w:r>
        <w:rPr>
          <w:rFonts w:hint="eastAsia"/>
        </w:rPr>
        <w:t>具体内容请详见本项目专用条款的相关内容。</w:t>
      </w:r>
    </w:p>
    <w:p>
      <w:pPr>
        <w:tabs>
          <w:tab w:val="clear" w:pos="426"/>
        </w:tabs>
      </w:pPr>
      <w:r>
        <w:t xml:space="preserve">16. </w:t>
      </w:r>
      <w:r>
        <w:rPr>
          <w:rFonts w:hint="eastAsia"/>
        </w:rPr>
        <w:t>投标文件格式</w:t>
      </w:r>
    </w:p>
    <w:p>
      <w:pPr>
        <w:tabs>
          <w:tab w:val="clear" w:pos="426"/>
        </w:tabs>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pPr>
      <w:r>
        <w:t>17．投标货币</w:t>
      </w:r>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t xml:space="preserve">18. </w:t>
      </w:r>
      <w:r>
        <w:rPr>
          <w:rFonts w:hint="eastAsia"/>
        </w:rPr>
        <w:t>证明投标供应商合格和资格的文件</w:t>
      </w:r>
    </w:p>
    <w:p>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pPr>
      <w:r>
        <w:t>19．证明投标文件投标技术方案的合格性和符合招标文件规定的文件要求</w:t>
      </w:r>
    </w:p>
    <w:p>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pPr>
      <w:r>
        <w:t>19.2.1主要技术指标和性能的详细说明。</w:t>
      </w:r>
    </w:p>
    <w:p>
      <w:pPr>
        <w:tabs>
          <w:tab w:val="clear" w:pos="426"/>
        </w:tabs>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t>19.2.5我国政府机构出具的产品检验和核准证件应为证件正面、背面和附件标注的全部具体内容；产品检验和核准证件应能清晰的阅读、识别和判断，提供原件复印件。</w:t>
      </w:r>
    </w:p>
    <w:p>
      <w:pPr>
        <w:tabs>
          <w:tab w:val="clear" w:pos="426"/>
        </w:tabs>
      </w:pPr>
      <w:r>
        <w:t>19.3相关资料不符合19.2款要求的，评标委员会有权认定为投标技术方案不合格响应，其相关分数予以扣减或作废标处理。</w:t>
      </w:r>
    </w:p>
    <w:p>
      <w:pPr>
        <w:tabs>
          <w:tab w:val="clear" w:pos="426"/>
        </w:tabs>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pPr>
      <w:r>
        <w:t>19.6为保证公平公正，除非另有规定或说明，投标供应商对同一货物或服务投标时，不得同时提供两套或两套以上的投标方案。</w:t>
      </w:r>
    </w:p>
    <w:p>
      <w:pPr>
        <w:tabs>
          <w:tab w:val="clear" w:pos="426"/>
        </w:tabs>
      </w:pPr>
      <w:r>
        <w:t>20．投标文件其他证明文件的要求</w:t>
      </w:r>
    </w:p>
    <w:p>
      <w:pPr>
        <w:tabs>
          <w:tab w:val="clear" w:pos="426"/>
        </w:tabs>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pPr>
      <w:r>
        <w:t>21．投标有效期</w:t>
      </w:r>
    </w:p>
    <w:p>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pPr>
      <w:r>
        <w:t>21.3 中标单位的投标书有效期，截止于完成本招标文件规定的全部项目内容，并通过竣工验收及保修结束。</w:t>
      </w:r>
    </w:p>
    <w:p>
      <w:pPr>
        <w:tabs>
          <w:tab w:val="clear" w:pos="426"/>
        </w:tabs>
      </w:pPr>
      <w:r>
        <w:t>22．投标保证金</w:t>
      </w:r>
    </w:p>
    <w:p>
      <w:pPr>
        <w:tabs>
          <w:tab w:val="clear" w:pos="426"/>
        </w:tabs>
      </w:pPr>
      <w:r>
        <w:t>22.1投标保证金的缴纳：</w:t>
      </w:r>
      <w:r>
        <w:rPr>
          <w:rFonts w:hint="eastAsia"/>
          <w:b/>
        </w:rPr>
        <w:t>（本项目不适用）</w:t>
      </w:r>
    </w:p>
    <w:p>
      <w:pPr>
        <w:tabs>
          <w:tab w:val="clear" w:pos="426"/>
        </w:tabs>
      </w:pPr>
      <w:r>
        <w:t>22.1.1缴纳投标保证金的方式：参与投标前须缴纳</w:t>
      </w:r>
      <w:r>
        <w:rPr>
          <w:rFonts w:hint="eastAsia"/>
        </w:rPr>
        <w:t>/</w:t>
      </w:r>
      <w:r>
        <w:t>万元保证金，落标或中标项目完成后返还，参与投标前未缴纳的，其投标将不予受理。</w:t>
      </w:r>
    </w:p>
    <w:p>
      <w:pPr>
        <w:tabs>
          <w:tab w:val="clear" w:pos="426"/>
        </w:tabs>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pPr>
      <w:r>
        <w:t>22.3如下列任何情况发生时，投标保证金将被没收。</w:t>
      </w:r>
    </w:p>
    <w:p>
      <w:pPr>
        <w:tabs>
          <w:tab w:val="clear" w:pos="426"/>
        </w:tabs>
      </w:pPr>
      <w:r>
        <w:t>1）投标供应商在招标文件中规定的投标有效期内撤回其投标；</w:t>
      </w:r>
    </w:p>
    <w:p>
      <w:pPr>
        <w:tabs>
          <w:tab w:val="clear" w:pos="426"/>
        </w:tabs>
      </w:pPr>
      <w:r>
        <w:t>2）中标供应商在规定期限内未能根据本项通用条款第47条规定签订合同；</w:t>
      </w:r>
    </w:p>
    <w:p>
      <w:pPr>
        <w:tabs>
          <w:tab w:val="clear" w:pos="426"/>
        </w:tabs>
      </w:pPr>
      <w:r>
        <w:t>3）投标供应商提供虚假投标文件或虚假补充文件：</w:t>
      </w:r>
    </w:p>
    <w:p>
      <w:pPr>
        <w:tabs>
          <w:tab w:val="clear" w:pos="426"/>
        </w:tabs>
      </w:pPr>
      <w:r>
        <w:t>4）投标供应商以谋取中标为目的的技术规格模糊响应（如有意照搬照抄招标文件的技术要求）或虚假响应的；</w:t>
      </w:r>
    </w:p>
    <w:p>
      <w:pPr>
        <w:tabs>
          <w:tab w:val="clear" w:pos="426"/>
        </w:tabs>
      </w:pPr>
      <w:r>
        <w:t>5）投标供应商质疑投诉提供虚假情况。</w:t>
      </w:r>
    </w:p>
    <w:p>
      <w:pPr>
        <w:tabs>
          <w:tab w:val="clear" w:pos="426"/>
        </w:tabs>
      </w:pPr>
      <w:r>
        <w:t>22.4</w:t>
      </w:r>
      <w:r>
        <w:rPr>
          <w:rFonts w:hint="eastAsia"/>
        </w:rPr>
        <w:t>不再收取</w:t>
      </w:r>
      <w:r>
        <w:t>投标保证金</w:t>
      </w:r>
      <w:r>
        <w:rPr>
          <w:rFonts w:hint="eastAsia"/>
        </w:rPr>
        <w:t>。</w:t>
      </w:r>
    </w:p>
    <w:p>
      <w:pPr>
        <w:tabs>
          <w:tab w:val="clear" w:pos="426"/>
        </w:tabs>
      </w:pPr>
      <w:r>
        <w:t>23．投标供应商的替代方案</w:t>
      </w:r>
    </w:p>
    <w:p>
      <w:pPr>
        <w:tabs>
          <w:tab w:val="clear" w:pos="426"/>
        </w:tabs>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pPr>
      <w:r>
        <w:t xml:space="preserve">24． </w:t>
      </w:r>
      <w:r>
        <w:rPr>
          <w:rFonts w:hint="eastAsia"/>
        </w:rPr>
        <w:t>投标文件的密封、标记和装订</w:t>
      </w:r>
    </w:p>
    <w:p>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pPr>
      <w:r>
        <w:rPr>
          <w:rFonts w:hint="eastAsia"/>
        </w:rPr>
        <w:t>投标文件</w:t>
      </w:r>
    </w:p>
    <w:p>
      <w:pPr>
        <w:tabs>
          <w:tab w:val="clear" w:pos="426"/>
        </w:tabs>
      </w:pPr>
      <w:r>
        <w:rPr>
          <w:rFonts w:hint="eastAsia"/>
        </w:rPr>
        <w:t>项目编号：</w:t>
      </w:r>
    </w:p>
    <w:p>
      <w:pPr>
        <w:tabs>
          <w:tab w:val="clear" w:pos="426"/>
        </w:tabs>
      </w:pPr>
      <w:r>
        <w:rPr>
          <w:rFonts w:hint="eastAsia"/>
        </w:rPr>
        <w:t>项目名称：</w:t>
      </w:r>
    </w:p>
    <w:p>
      <w:pPr>
        <w:tabs>
          <w:tab w:val="clear" w:pos="426"/>
        </w:tabs>
      </w:pPr>
      <w:r>
        <w:rPr>
          <w:rFonts w:hint="eastAsia"/>
        </w:rPr>
        <w:t>投标供应商名称（盖章）：</w:t>
      </w:r>
    </w:p>
    <w:p>
      <w:pPr>
        <w:tabs>
          <w:tab w:val="clear" w:pos="426"/>
        </w:tabs>
      </w:pPr>
      <w:r>
        <w:rPr>
          <w:rFonts w:hint="eastAsia"/>
        </w:rPr>
        <w:t>投标截止时间：</w:t>
      </w:r>
      <w:r>
        <w:rPr>
          <w:u w:val="single"/>
        </w:rPr>
        <w:t>_______年______月______日______时______分（前不得开封）</w:t>
      </w:r>
      <w:r>
        <w:rPr>
          <w:rFonts w:hint="eastAsia"/>
        </w:rPr>
        <w:t>。</w:t>
      </w:r>
    </w:p>
    <w:p>
      <w:pPr>
        <w:tabs>
          <w:tab w:val="clear" w:pos="426"/>
        </w:tabs>
      </w:pPr>
      <w:r>
        <w:t xml:space="preserve">24.3  </w:t>
      </w:r>
      <w:r>
        <w:rPr>
          <w:rFonts w:hint="eastAsia"/>
        </w:rPr>
        <w:t>所有投标文件的密封袋的封口处均应加盖投标供应商公章。</w:t>
      </w:r>
    </w:p>
    <w:p>
      <w:pPr>
        <w:tabs>
          <w:tab w:val="clear" w:pos="426"/>
        </w:tabs>
      </w:pPr>
      <w:r>
        <w:t xml:space="preserve">24.4  </w:t>
      </w:r>
      <w:r>
        <w:rPr>
          <w:rFonts w:hint="eastAsia"/>
        </w:rPr>
        <w:t>对于因标书标识不清、装订不牢、密封不严等导致的不利后果由该投标供应商自负。</w:t>
      </w:r>
    </w:p>
    <w:p>
      <w:pPr>
        <w:tabs>
          <w:tab w:val="clear" w:pos="426"/>
        </w:tabs>
        <w:rPr>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szCs w:val="21"/>
        </w:rPr>
      </w:pPr>
      <w:r>
        <w:rPr>
          <w:szCs w:val="21"/>
        </w:rPr>
        <w:t xml:space="preserve">24.6  </w:t>
      </w:r>
      <w:r>
        <w:rPr>
          <w:rFonts w:hint="eastAsia"/>
          <w:szCs w:val="21"/>
        </w:rPr>
        <w:t>邮寄、电报、电话、传真形式的投标概不接受。</w:t>
      </w:r>
    </w:p>
    <w:p>
      <w:pPr>
        <w:tabs>
          <w:tab w:val="clear" w:pos="426"/>
        </w:tabs>
        <w:rPr>
          <w:b/>
          <w:szCs w:val="21"/>
        </w:rPr>
      </w:pPr>
      <w:r>
        <w:rPr>
          <w:b/>
          <w:szCs w:val="21"/>
        </w:rPr>
        <w:t xml:space="preserve">24.7  </w:t>
      </w:r>
      <w:r>
        <w:rPr>
          <w:rFonts w:hint="eastAsia"/>
          <w:b/>
          <w:bCs/>
          <w:szCs w:val="21"/>
        </w:rPr>
        <w:t>投标文件电子版：电子光盘一张</w:t>
      </w:r>
      <w:bookmarkStart w:id="165" w:name="_Hlk180015173"/>
      <w:r>
        <w:rPr>
          <w:rFonts w:hint="eastAsia"/>
          <w:b/>
          <w:bCs/>
          <w:szCs w:val="21"/>
        </w:rPr>
        <w:t>或U盘一个</w:t>
      </w:r>
      <w:bookmarkEnd w:id="165"/>
      <w:r>
        <w:rPr>
          <w:rFonts w:hint="eastAsia"/>
          <w:b/>
          <w:bCs/>
          <w:szCs w:val="21"/>
        </w:rPr>
        <w:t>（</w:t>
      </w:r>
      <w:bookmarkStart w:id="166" w:name="_Hlk180015185"/>
      <w:r>
        <w:rPr>
          <w:rFonts w:hint="eastAsia"/>
          <w:b/>
          <w:bCs/>
          <w:szCs w:val="21"/>
        </w:rPr>
        <w:t>WORD及</w:t>
      </w:r>
      <w:bookmarkEnd w:id="166"/>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szCs w:val="21"/>
        </w:rPr>
      </w:pPr>
      <w:r>
        <w:rPr>
          <w:szCs w:val="21"/>
        </w:rPr>
        <w:t xml:space="preserve">25． </w:t>
      </w:r>
      <w:r>
        <w:rPr>
          <w:rFonts w:hint="eastAsia"/>
          <w:szCs w:val="21"/>
        </w:rPr>
        <w:t>投标截止时间</w:t>
      </w:r>
    </w:p>
    <w:p>
      <w:pPr>
        <w:tabs>
          <w:tab w:val="clear" w:pos="426"/>
        </w:tabs>
        <w:rPr>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szCs w:val="21"/>
        </w:rPr>
      </w:pPr>
      <w:r>
        <w:rPr>
          <w:szCs w:val="21"/>
        </w:rPr>
        <w:t>26．迟交的投标书</w:t>
      </w:r>
    </w:p>
    <w:p>
      <w:pPr>
        <w:tabs>
          <w:tab w:val="clear" w:pos="426"/>
        </w:tabs>
        <w:rPr>
          <w:szCs w:val="21"/>
        </w:rPr>
      </w:pPr>
      <w:r>
        <w:rPr>
          <w:szCs w:val="21"/>
        </w:rPr>
        <w:t xml:space="preserve">    按照本通用条款第25条规定，招标机构将拒绝并原封退回在其规定的投标截止期后收到的任何投标书。</w:t>
      </w:r>
    </w:p>
    <w:p>
      <w:pPr>
        <w:tabs>
          <w:tab w:val="clear" w:pos="426"/>
        </w:tabs>
      </w:pPr>
      <w:r>
        <w:t xml:space="preserve">27． </w:t>
      </w:r>
      <w:r>
        <w:rPr>
          <w:rFonts w:hint="eastAsia"/>
        </w:rPr>
        <w:t>投标文件的提交和截标时投标文件的数量要求</w:t>
      </w:r>
    </w:p>
    <w:p>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pPr>
      <w:r>
        <w:t xml:space="preserve">28．  </w:t>
      </w:r>
      <w:r>
        <w:rPr>
          <w:rFonts w:hint="eastAsia"/>
        </w:rPr>
        <w:t>投标文件的修改或撤回</w:t>
      </w:r>
    </w:p>
    <w:p>
      <w:pPr>
        <w:tabs>
          <w:tab w:val="clear" w:pos="426"/>
        </w:tabs>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pPr>
      <w:r>
        <w:t xml:space="preserve">28.3  </w:t>
      </w:r>
      <w:r>
        <w:rPr>
          <w:rFonts w:hint="eastAsia"/>
        </w:rPr>
        <w:t>投标供应商的修改文件应按照本招标文件的规定进行编制、密封、标记和提交，并在密封袋上注明“投标修改”。</w:t>
      </w:r>
    </w:p>
    <w:p>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pPr>
      <w:r>
        <w:t xml:space="preserve">28.5  </w:t>
      </w:r>
      <w:r>
        <w:rPr>
          <w:rFonts w:hint="eastAsia"/>
        </w:rPr>
        <w:t>评标结束后，不论中标与否，投标供应商均不得收回投标文件。</w:t>
      </w:r>
    </w:p>
    <w:p>
      <w:pPr>
        <w:pStyle w:val="5"/>
        <w:tabs>
          <w:tab w:val="clear" w:pos="426"/>
        </w:tabs>
      </w:pPr>
      <w:bookmarkStart w:id="167" w:name="_Toc18415"/>
      <w:bookmarkStart w:id="168" w:name="_Toc530152525"/>
      <w:bookmarkStart w:id="169" w:name="_Toc529280584"/>
      <w:bookmarkStart w:id="170" w:name="_Toc14427257"/>
      <w:r>
        <w:rPr>
          <w:rFonts w:hint="eastAsia"/>
        </w:rPr>
        <w:t>第四章 开标</w:t>
      </w:r>
      <w:bookmarkEnd w:id="167"/>
      <w:bookmarkEnd w:id="168"/>
      <w:bookmarkEnd w:id="169"/>
      <w:bookmarkEnd w:id="170"/>
    </w:p>
    <w:p>
      <w:pPr>
        <w:tabs>
          <w:tab w:val="clear" w:pos="426"/>
        </w:tabs>
      </w:pPr>
      <w:r>
        <w:t>29．　开标</w:t>
      </w:r>
    </w:p>
    <w:p>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pPr>
      <w:r>
        <w:t xml:space="preserve">29.3  </w:t>
      </w:r>
      <w:r>
        <w:rPr>
          <w:rFonts w:hint="eastAsia"/>
        </w:rPr>
        <w:t>开标会由采购代理机构主持，开标程序如下：</w:t>
      </w:r>
    </w:p>
    <w:p>
      <w:pPr>
        <w:tabs>
          <w:tab w:val="clear" w:pos="426"/>
        </w:tabs>
      </w:pPr>
      <w:r>
        <w:t xml:space="preserve">29.3.1  采购代理机构核对法人代表或其授权代表身份证明，若不能提供相应的身份证明或不相符，则不能参与开标会议； </w:t>
      </w:r>
    </w:p>
    <w:p>
      <w:pPr>
        <w:tabs>
          <w:tab w:val="clear" w:pos="426"/>
        </w:tabs>
        <w:rPr>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rPr>
      </w:pPr>
      <w:r>
        <w:rPr>
          <w:rFonts w:hint="eastAsia"/>
          <w:szCs w:val="21"/>
        </w:rPr>
        <w:t>除了按照本通用条款第</w:t>
      </w:r>
      <w:r>
        <w:rPr>
          <w:szCs w:val="21"/>
        </w:rPr>
        <w:t>26条规定原封退回的投标之外，开标时将不得拒绝任何投标书。</w:t>
      </w:r>
    </w:p>
    <w:p>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pPr>
      <w:bookmarkStart w:id="171" w:name="_Toc14427258"/>
      <w:bookmarkStart w:id="172" w:name="_Toc529280585"/>
      <w:bookmarkStart w:id="173" w:name="_Toc31833"/>
      <w:bookmarkStart w:id="174" w:name="_Toc530152526"/>
      <w:r>
        <w:rPr>
          <w:rFonts w:hint="eastAsia"/>
        </w:rPr>
        <w:t>第五章 评标要求</w:t>
      </w:r>
      <w:bookmarkEnd w:id="171"/>
      <w:bookmarkEnd w:id="172"/>
      <w:bookmarkEnd w:id="173"/>
      <w:bookmarkEnd w:id="174"/>
    </w:p>
    <w:p>
      <w:pPr>
        <w:tabs>
          <w:tab w:val="clear" w:pos="426"/>
        </w:tabs>
      </w:pPr>
      <w:r>
        <w:t>30．评标委员会组成</w:t>
      </w:r>
    </w:p>
    <w:p>
      <w:pPr>
        <w:tabs>
          <w:tab w:val="clear" w:pos="426"/>
        </w:tabs>
      </w:pPr>
      <w:r>
        <w:t>30.1开标结束后召开评标会议，评标委员会由采购代理机构依法组建，负责评标活动。</w:t>
      </w:r>
    </w:p>
    <w:p>
      <w:pPr>
        <w:tabs>
          <w:tab w:val="clear" w:pos="426"/>
        </w:tabs>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注：《评标授权书》《采购单位不派评委参与项目评标承诺书》模板由采购代理机构提供</w:t>
      </w:r>
      <w:r>
        <w:rPr>
          <w:rFonts w:hint="eastAsia"/>
          <w:sz w:val="24"/>
        </w:rPr>
        <w:t>。</w:t>
      </w:r>
    </w:p>
    <w:p>
      <w:pPr>
        <w:tabs>
          <w:tab w:val="clear" w:pos="426"/>
        </w:tabs>
      </w:pPr>
      <w:r>
        <w:t>30.2评标定标应当遵循公平、公正、科学、择优的原则。</w:t>
      </w:r>
    </w:p>
    <w:p>
      <w:pPr>
        <w:tabs>
          <w:tab w:val="clear" w:pos="426"/>
        </w:tabs>
      </w:pPr>
      <w:r>
        <w:t>30.3评标活动依法进行，任何单位和个人不得非法干预评标过程和结果。</w:t>
      </w:r>
    </w:p>
    <w:p>
      <w:pPr>
        <w:tabs>
          <w:tab w:val="clear" w:pos="426"/>
        </w:tabs>
      </w:pPr>
      <w:r>
        <w:t>30.4评标过程中不允许违背评标程序或采用招标文件未载明的评标方法或评标因素进行评标。</w:t>
      </w:r>
    </w:p>
    <w:p>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pPr>
      <w:r>
        <w:t>31．向评标委员会提供的资料</w:t>
      </w:r>
    </w:p>
    <w:p>
      <w:pPr>
        <w:tabs>
          <w:tab w:val="clear" w:pos="426"/>
        </w:tabs>
      </w:pPr>
      <w:r>
        <w:t>31.1公开发布的招标文件，包括图纸、服务清单、答疑文件等；</w:t>
      </w:r>
    </w:p>
    <w:p>
      <w:pPr>
        <w:tabs>
          <w:tab w:val="clear" w:pos="426"/>
        </w:tabs>
      </w:pPr>
      <w:r>
        <w:t>31.2其他评标必须的资料。</w:t>
      </w:r>
    </w:p>
    <w:p>
      <w:pPr>
        <w:tabs>
          <w:tab w:val="clear" w:pos="426"/>
        </w:tabs>
      </w:pPr>
      <w:r>
        <w:t>31.3评标委员会应当认真研究招标文件，至少应了解熟悉以下</w:t>
      </w:r>
      <w:r>
        <w:rPr>
          <w:rFonts w:hint="eastAsia"/>
        </w:rPr>
        <w:t>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（3）招标文件规定的投标供应商的资格、财政预算限额、商务条款；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pPr>
      <w:bookmarkStart w:id="175" w:name="_Toc529280586"/>
      <w:bookmarkStart w:id="176" w:name="_Toc530152527"/>
      <w:bookmarkStart w:id="177" w:name="_Toc329"/>
      <w:bookmarkStart w:id="178" w:name="_Toc14427259"/>
      <w:r>
        <w:rPr>
          <w:rFonts w:hint="eastAsia"/>
        </w:rPr>
        <w:t>第六章 评标程序及评标方法</w:t>
      </w:r>
      <w:bookmarkEnd w:id="175"/>
      <w:bookmarkEnd w:id="176"/>
      <w:bookmarkEnd w:id="177"/>
      <w:bookmarkEnd w:id="178"/>
    </w:p>
    <w:p>
      <w:pPr>
        <w:tabs>
          <w:tab w:val="clear" w:pos="426"/>
        </w:tabs>
      </w:pPr>
      <w:r>
        <w:rPr>
          <w:rFonts w:hint="eastAsia"/>
        </w:rPr>
        <w:t>33．投标文件初审</w:t>
      </w:r>
    </w:p>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pPr>
      <w:r>
        <w:rPr>
          <w:rFonts w:hint="eastAsia"/>
        </w:rPr>
        <w:t>33.3 投标文件初审中关于供应商家数的计算。</w:t>
      </w:r>
    </w:p>
    <w:p>
      <w:pPr>
        <w:tabs>
          <w:tab w:val="clear" w:pos="426"/>
        </w:tabs>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pPr>
      <w:r>
        <w:rPr>
          <w:rFonts w:hint="eastAsia"/>
        </w:rPr>
        <w:t>33.3.4公开招标以外采购方式以及采购服务和工程涉及采购货物的项目，也按此方法计算供应商家数。</w:t>
      </w:r>
    </w:p>
    <w:p>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r>
        <w:rPr>
          <w:rFonts w:hint="eastAsia"/>
        </w:rPr>
        <w:t>34．澄清有关问题</w:t>
      </w:r>
    </w:p>
    <w:p>
      <w:pPr>
        <w:tabs>
          <w:tab w:val="clear" w:pos="426"/>
        </w:tabs>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pPr>
      <w:r>
        <w:rPr>
          <w:rFonts w:hint="eastAsia"/>
        </w:rPr>
        <w:t>35．错误的修正</w:t>
      </w:r>
    </w:p>
    <w:p>
      <w:pPr>
        <w:tabs>
          <w:tab w:val="clear" w:pos="426"/>
        </w:tabs>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pPr>
      <w:r>
        <w:rPr>
          <w:rFonts w:hint="eastAsia"/>
        </w:rPr>
        <w:t>35.2  算术错误将按以下方法更正（次序排先者优先）：</w:t>
      </w:r>
    </w:p>
    <w:p>
      <w:pPr>
        <w:tabs>
          <w:tab w:val="clear" w:pos="426"/>
        </w:tabs>
      </w:pPr>
      <w:r>
        <w:rPr>
          <w:rFonts w:hint="eastAsia"/>
        </w:rPr>
        <w:t>35.2.1投标文件中开标一览表（报价表）内容与投标文件中相应内容不一致的，以开标一览表（报价表）为准；</w:t>
      </w:r>
    </w:p>
    <w:p>
      <w:pPr>
        <w:tabs>
          <w:tab w:val="clear" w:pos="426"/>
        </w:tabs>
      </w:pPr>
      <w:r>
        <w:rPr>
          <w:rFonts w:hint="eastAsia"/>
        </w:rPr>
        <w:t>35.2.2大写金额和小写金额不一致的，以大写金额为准；</w:t>
      </w:r>
    </w:p>
    <w:p>
      <w:pPr>
        <w:tabs>
          <w:tab w:val="clear" w:pos="426"/>
        </w:tabs>
      </w:pPr>
      <w:r>
        <w:rPr>
          <w:rFonts w:hint="eastAsia"/>
        </w:rPr>
        <w:t>35.2.3单价金额小数点或者百分比有明显错位的，以开标一览表的总价为准，并修改单价；</w:t>
      </w:r>
    </w:p>
    <w:p>
      <w:pPr>
        <w:tabs>
          <w:tab w:val="clear" w:pos="426"/>
        </w:tabs>
      </w:pPr>
      <w:r>
        <w:rPr>
          <w:rFonts w:hint="eastAsia"/>
        </w:rPr>
        <w:t>35.2.4总价金额与按单价汇总金额不一致的，以单价金额计算结果为准；</w:t>
      </w:r>
    </w:p>
    <w:p>
      <w:pPr>
        <w:tabs>
          <w:tab w:val="clear" w:pos="426"/>
        </w:tabs>
      </w:pPr>
      <w:r>
        <w:rPr>
          <w:rFonts w:hint="eastAsia"/>
        </w:rPr>
        <w:t>35.2.5 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pPr>
      <w:r>
        <w:rPr>
          <w:rFonts w:hint="eastAsia"/>
        </w:rPr>
        <w:t>36．投标文件的比较与评价</w:t>
      </w:r>
    </w:p>
    <w:p>
      <w:pPr>
        <w:tabs>
          <w:tab w:val="clear" w:pos="426"/>
        </w:tabs>
      </w:pPr>
      <w:r>
        <w:rPr>
          <w:rFonts w:hint="eastAsia"/>
        </w:rPr>
        <w:t>36.1评标委员会将参照相关法律、法规、规定，仅对通过资格性审查和符合性审查的投标文件进行综合比较与评价。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评标委员会应当对投标供应商的投标文件进行分析和比较。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投标供应商以他人的名义投标或出现下列串通投标、弄虚作假投标嫌疑的：</w:t>
      </w:r>
    </w:p>
    <w:p>
      <w:pPr>
        <w:tabs>
          <w:tab w:val="clear" w:pos="426"/>
        </w:tabs>
        <w:rPr>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不同投标供应商的投标文件错漏之处一致的；</w:t>
      </w:r>
    </w:p>
    <w:p>
      <w:pPr>
        <w:tabs>
          <w:tab w:val="clear" w:pos="426"/>
        </w:tabs>
        <w:rPr>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kern w:val="10"/>
        </w:rPr>
      </w:pPr>
      <w:r>
        <w:rPr>
          <w:rFonts w:hint="eastAsia"/>
          <w:kern w:val="10"/>
        </w:rPr>
        <w:t xml:space="preserve">36.5.1.4  </w:t>
      </w:r>
      <w:r>
        <w:rPr>
          <w:kern w:val="10"/>
        </w:rPr>
        <w:t>不同投标供应商的投标文件由同一单位或者同一个人编制的；</w:t>
      </w:r>
    </w:p>
    <w:p>
      <w:pPr>
        <w:tabs>
          <w:tab w:val="clear" w:pos="426"/>
        </w:tabs>
        <w:rPr>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不同投标供应商的投标文件相互混装的；</w:t>
      </w:r>
    </w:p>
    <w:p>
      <w:pPr>
        <w:tabs>
          <w:tab w:val="clear" w:pos="426"/>
        </w:tabs>
        <w:rPr>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kern w:val="10"/>
        </w:rPr>
      </w:pPr>
      <w:r>
        <w:rPr>
          <w:rFonts w:hint="eastAsia"/>
          <w:kern w:val="10"/>
        </w:rPr>
        <w:t>36.5.1.8  不同投标供应商聘请同一人为其投标提供技术或者经济咨询服务的，但招标工程本身要求采用专有技术的除外；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pPr>
      <w:r>
        <w:rPr>
          <w:rFonts w:hint="eastAsia"/>
        </w:rPr>
        <w:t>37.2若招标文件要求进行现场演示或设备测试的，投标供应商应做好相应准备。</w:t>
      </w:r>
    </w:p>
    <w:p>
      <w:pPr>
        <w:tabs>
          <w:tab w:val="clear" w:pos="426"/>
        </w:tabs>
      </w:pPr>
      <w:r>
        <w:rPr>
          <w:rFonts w:hint="eastAsia"/>
        </w:rPr>
        <w:t>38．评标方法</w:t>
      </w:r>
    </w:p>
    <w:p>
      <w:pPr>
        <w:tabs>
          <w:tab w:val="clear" w:pos="426"/>
        </w:tabs>
        <w:rPr>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38.2.1最低评标价法</w:t>
      </w:r>
    </w:p>
    <w:p>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b/>
        </w:rPr>
      </w:pPr>
      <w:r>
        <w:rPr>
          <w:rFonts w:hint="eastAsia"/>
        </w:rPr>
        <w:t>38.2.2综合评分法</w:t>
      </w:r>
    </w:p>
    <w:p>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sz w:val="18"/>
          <w:szCs w:val="18"/>
          <w:shd w:val="clear" w:color="auto" w:fill="FFFFFF"/>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pPr>
      <w:r>
        <w:rPr>
          <w:rFonts w:hint="eastAsia"/>
        </w:rPr>
        <w:t>38.3.3最低价法</w:t>
      </w:r>
    </w:p>
    <w:p>
      <w:pPr>
        <w:tabs>
          <w:tab w:val="clear" w:pos="426"/>
        </w:tabs>
      </w:pPr>
      <w:r>
        <w:rPr>
          <w:rFonts w:hint="eastAsia"/>
        </w:rPr>
        <w:t>最低价法是指以价格为主要因素确定候选中标供应商的评审方法。</w:t>
      </w:r>
    </w:p>
    <w:p>
      <w:pPr>
        <w:tabs>
          <w:tab w:val="clear" w:pos="426"/>
        </w:tabs>
      </w:pPr>
      <w:r>
        <w:rPr>
          <w:rFonts w:hint="eastAsia"/>
        </w:rPr>
        <w:t>38.4本项目采用的评标方法见本项目招标文件专用条款的相关内容。</w:t>
      </w:r>
    </w:p>
    <w:p>
      <w:pPr>
        <w:pStyle w:val="5"/>
        <w:tabs>
          <w:tab w:val="clear" w:pos="426"/>
        </w:tabs>
      </w:pPr>
      <w:bookmarkStart w:id="179" w:name="_Toc10018"/>
      <w:bookmarkStart w:id="180" w:name="_Toc529280587"/>
      <w:bookmarkStart w:id="181" w:name="_Toc14427260"/>
      <w:bookmarkStart w:id="182" w:name="_Toc530152528"/>
      <w:r>
        <w:rPr>
          <w:rFonts w:hint="eastAsia"/>
        </w:rPr>
        <w:t>第七章 定标及公示</w:t>
      </w:r>
      <w:bookmarkEnd w:id="179"/>
      <w:bookmarkEnd w:id="180"/>
      <w:bookmarkEnd w:id="181"/>
      <w:bookmarkEnd w:id="182"/>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适用评定分离的采购项目，采购人应当根据不同的项目选用自定法、抽签法、竞价法或者法律、法规及规章规定的其他定标方法确定中标供应商。</w:t>
      </w:r>
    </w:p>
    <w:p>
      <w:pPr>
        <w:tabs>
          <w:tab w:val="clear" w:pos="426"/>
        </w:tabs>
      </w:pPr>
      <w:r>
        <w:rPr>
          <w:rFonts w:hint="eastAsia"/>
        </w:rPr>
        <w:t>39</w:t>
      </w:r>
      <w:r>
        <w:t>.</w:t>
      </w:r>
      <w:r>
        <w:rPr>
          <w:rFonts w:hint="eastAsia"/>
        </w:rPr>
        <w:t>3.1自定法是指采购人组织定标委员会，由定标委员会在候选中标供应商中确定中标供应商。</w:t>
      </w:r>
    </w:p>
    <w:p>
      <w:pPr>
        <w:tabs>
          <w:tab w:val="clear" w:pos="426"/>
        </w:tabs>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pPr>
      <w:r>
        <w:rPr>
          <w:rFonts w:hint="eastAsia"/>
        </w:rPr>
        <w:t>39.4本项目采用的定标方法见本项目招标文件专用条款的相关内容。</w:t>
      </w:r>
    </w:p>
    <w:p>
      <w:pPr>
        <w:tabs>
          <w:tab w:val="clear" w:pos="426"/>
        </w:tabs>
      </w:pPr>
      <w:r>
        <w:rPr>
          <w:rFonts w:hint="eastAsia"/>
        </w:rPr>
        <w:t>40．编写评标报告</w:t>
      </w:r>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r>
        <w:rPr>
          <w:rFonts w:hint="eastAsia"/>
        </w:rPr>
        <w:t>41．中标公告</w:t>
      </w:r>
    </w:p>
    <w:p>
      <w:pPr>
        <w:tabs>
          <w:tab w:val="clear" w:pos="426"/>
        </w:tabs>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r>
        <w:rPr>
          <w:rFonts w:hint="eastAsia"/>
        </w:rPr>
        <w:t>42．中标通知书</w:t>
      </w:r>
    </w:p>
    <w:p>
      <w:pPr>
        <w:tabs>
          <w:tab w:val="clear" w:pos="426"/>
        </w:tabs>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5"/>
        <w:tabs>
          <w:tab w:val="clear" w:pos="426"/>
        </w:tabs>
      </w:pPr>
      <w:bookmarkStart w:id="183" w:name="_Toc1549"/>
      <w:bookmarkStart w:id="184" w:name="_Toc529280588"/>
      <w:bookmarkStart w:id="185" w:name="_Toc530152529"/>
      <w:bookmarkStart w:id="186" w:name="_Toc14427261"/>
      <w:r>
        <w:rPr>
          <w:rFonts w:hint="eastAsia"/>
        </w:rPr>
        <w:t>第八章 公开招标失败的后续处理</w:t>
      </w:r>
      <w:bookmarkEnd w:id="183"/>
      <w:bookmarkEnd w:id="184"/>
      <w:bookmarkEnd w:id="185"/>
      <w:bookmarkEnd w:id="186"/>
    </w:p>
    <w:p>
      <w:pPr>
        <w:rPr>
          <w:rFonts w:hAnsi="Times New Roman"/>
        </w:rPr>
      </w:pPr>
      <w:r>
        <w:rPr>
          <w:rFonts w:hint="eastAsia"/>
        </w:rPr>
        <w:t>43．公开招标失败的处理</w:t>
      </w:r>
    </w:p>
    <w:p>
      <w:pPr>
        <w:tabs>
          <w:tab w:val="clear" w:pos="426"/>
        </w:tabs>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pPr>
      <w:r>
        <w:rPr>
          <w:rFonts w:hint="eastAsia"/>
        </w:rPr>
        <w:t>43.4重新组织采购有以下两种组织形式：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pPr>
      <w:r>
        <w:rPr>
          <w:rFonts w:hint="eastAsia"/>
        </w:rPr>
        <w:t>43.5公开招标失败的采购项目重新组织公开招标，采购代理机构要重新按公开招标流程发布采购公告和招标文件、组成评标委员会等组织采购活动。</w:t>
      </w:r>
    </w:p>
    <w:p>
      <w:pPr>
        <w:tabs>
          <w:tab w:val="clear" w:pos="426"/>
        </w:tabs>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pPr>
      <w:r>
        <w:rPr>
          <w:rFonts w:hint="eastAsia"/>
        </w:rPr>
        <w:t>44.4.3若要采用其他评标方法的，必须报经相关监督管理部门批准，谈判小组按批准的评标方法进行评审。谈判邀请文件中应注明批准的评标方法。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44.4.4谈判小组向采购代理机构提交书面评标报告，并推荐中标候选人或确定中标供应商。</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45.4.2谈判小组向采购代理机构提交书面评标报告，并推荐中标候选人或确定中标供应商。</w:t>
      </w:r>
    </w:p>
    <w:p>
      <w:pPr>
        <w:pStyle w:val="5"/>
        <w:tabs>
          <w:tab w:val="clear" w:pos="426"/>
        </w:tabs>
        <w:rPr>
          <w:sz w:val="28"/>
          <w:szCs w:val="28"/>
        </w:rPr>
      </w:pPr>
      <w:bookmarkStart w:id="187" w:name="_Toc529280589"/>
      <w:bookmarkStart w:id="188" w:name="_Toc14427262"/>
      <w:bookmarkStart w:id="189" w:name="_Toc27804"/>
      <w:bookmarkStart w:id="190" w:name="_Toc530152530"/>
      <w:r>
        <w:rPr>
          <w:rFonts w:hint="eastAsia"/>
        </w:rPr>
        <w:t>第九章 合同的授予与备案</w:t>
      </w:r>
      <w:bookmarkEnd w:id="187"/>
      <w:bookmarkEnd w:id="188"/>
      <w:bookmarkEnd w:id="189"/>
      <w:bookmarkEnd w:id="190"/>
    </w:p>
    <w:p>
      <w:pPr>
        <w:tabs>
          <w:tab w:val="clear" w:pos="426"/>
        </w:tabs>
      </w:pPr>
      <w:r>
        <w:rPr>
          <w:rFonts w:hint="eastAsia"/>
        </w:rPr>
        <w:t>46．  履约担保</w:t>
      </w:r>
    </w:p>
    <w:p>
      <w:pPr>
        <w:tabs>
          <w:tab w:val="clear" w:pos="426"/>
        </w:tabs>
      </w:pPr>
      <w:r>
        <w:rPr>
          <w:rFonts w:hint="eastAsia"/>
        </w:rPr>
        <w:t>46.1  本项目履约担保的相关要求：详见“投标须知前附表”。</w:t>
      </w:r>
    </w:p>
    <w:p>
      <w:pPr>
        <w:tabs>
          <w:tab w:val="clear" w:pos="426"/>
        </w:tabs>
      </w:pPr>
      <w:r>
        <w:rPr>
          <w:rFonts w:hint="eastAsia"/>
        </w:rPr>
        <w:t>46.2  在签订合同前，中标供应商应按规定向采购人提交履约担保，采用履约保函形式的可参照使用本招标文件提供的格式。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如果中标供应商拒不提交本节第42.1条、第42.2条要求的履约担保的，采购人可取消其中标资格，并没收其投标担保。</w:t>
      </w:r>
    </w:p>
    <w:p>
      <w:pPr>
        <w:tabs>
          <w:tab w:val="clear" w:pos="426"/>
        </w:tabs>
      </w:pPr>
      <w:r>
        <w:rPr>
          <w:rFonts w:hint="eastAsia"/>
        </w:rPr>
        <w:t>47．  签订合同</w:t>
      </w:r>
    </w:p>
    <w:p>
      <w:pPr>
        <w:tabs>
          <w:tab w:val="clear" w:pos="426"/>
        </w:tabs>
      </w:pPr>
      <w:r>
        <w:rPr>
          <w:rFonts w:hint="eastAsia"/>
        </w:rPr>
        <w:t>47.1  采购人和中标供应商应当按“投标须知前附表”的规定，依据招标文件和中标供应商的投标文件订立书面合同。</w:t>
      </w:r>
    </w:p>
    <w:p>
      <w:pPr>
        <w:tabs>
          <w:tab w:val="clear" w:pos="426"/>
        </w:tabs>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pPr>
      <w:bookmarkStart w:id="191" w:name="_Toc530152531"/>
      <w:bookmarkStart w:id="192" w:name="_Toc14427263"/>
      <w:bookmarkStart w:id="193" w:name="_Toc4334"/>
      <w:bookmarkStart w:id="194" w:name="_Toc529280590"/>
      <w:r>
        <w:rPr>
          <w:rFonts w:hint="eastAsia"/>
        </w:rPr>
        <w:t>第十章 质疑受理</w:t>
      </w:r>
      <w:bookmarkEnd w:id="191"/>
      <w:bookmarkEnd w:id="192"/>
      <w:bookmarkEnd w:id="193"/>
      <w:bookmarkEnd w:id="194"/>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52.4采购代理机构原则上在质疑受理之日起7个工作日内书面答复质疑供应商。答复函以直接领取、传真或邮寄方式送达。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r>
        <w:rPr>
          <w:rFonts w:hint="eastAsia"/>
        </w:rPr>
        <w:t xml:space="preserve">54．  </w:t>
      </w:r>
      <w:r>
        <w:rPr>
          <w:rFonts w:hint="eastAsia"/>
          <w:b/>
        </w:rPr>
        <w:t>其他</w:t>
      </w:r>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pPr>
      <w:r>
        <w:rPr>
          <w:rFonts w:hint="eastAsia"/>
        </w:rPr>
        <w:t>54.5 本招标文件所有的附件与本招标文件具有同等效力。</w:t>
      </w:r>
      <w:r>
        <w:br w:type="page"/>
      </w:r>
    </w:p>
    <w:p>
      <w:pPr>
        <w:pStyle w:val="81"/>
        <w:tabs>
          <w:tab w:val="clear" w:pos="426"/>
        </w:tabs>
      </w:pPr>
      <w:bookmarkStart w:id="195" w:name="_Toc13862"/>
      <w:bookmarkStart w:id="196" w:name="_Toc3627284"/>
      <w:bookmarkStart w:id="197" w:name="_Toc14427264"/>
      <w:r>
        <w:rPr>
          <w:rFonts w:hint="eastAsia"/>
        </w:rPr>
        <w:t>招标代理服务取费说明</w:t>
      </w:r>
      <w:bookmarkEnd w:id="195"/>
      <w:bookmarkEnd w:id="196"/>
      <w:bookmarkEnd w:id="197"/>
    </w:p>
    <w:p>
      <w:pPr>
        <w:tabs>
          <w:tab w:val="clear" w:pos="426"/>
        </w:tabs>
        <w:ind w:firstLine="440" w:firstLineChars="200"/>
        <w:rPr>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rPr>
            </w:pPr>
            <w:r>
              <w:rPr>
                <w:rFonts w:hint="eastAsia"/>
                <w:szCs w:val="21"/>
              </w:rPr>
              <w:t>服务类型</w:t>
            </w:r>
          </w:p>
          <w:p>
            <w:pPr>
              <w:tabs>
                <w:tab w:val="clear" w:pos="426"/>
              </w:tabs>
              <w:spacing w:line="300" w:lineRule="auto"/>
              <w:jc w:val="center"/>
              <w:rPr>
                <w:szCs w:val="21"/>
              </w:rPr>
            </w:pPr>
            <w:r>
              <w:rPr>
                <w:rFonts w:hint="eastAsia"/>
                <w:szCs w:val="21"/>
              </w:rPr>
              <w:t>费率</w:t>
            </w:r>
          </w:p>
          <w:p>
            <w:pPr>
              <w:tabs>
                <w:tab w:val="clear" w:pos="426"/>
              </w:tabs>
              <w:spacing w:line="300" w:lineRule="auto"/>
              <w:rPr>
                <w:szCs w:val="21"/>
              </w:rPr>
            </w:pPr>
            <w:r>
              <w:rPr>
                <w:rFonts w:hint="eastAsia"/>
                <w:szCs w:val="21"/>
              </w:rPr>
              <w:t>中标金额</w:t>
            </w:r>
          </w:p>
        </w:tc>
        <w:tc>
          <w:tcPr>
            <w:tcW w:w="1845" w:type="dxa"/>
            <w:vAlign w:val="center"/>
          </w:tcPr>
          <w:p>
            <w:pPr>
              <w:spacing w:line="240" w:lineRule="auto"/>
              <w:jc w:val="center"/>
              <w:rPr>
                <w:szCs w:val="21"/>
              </w:rPr>
            </w:pPr>
            <w:r>
              <w:rPr>
                <w:rFonts w:hint="eastAsia"/>
                <w:szCs w:val="21"/>
              </w:rPr>
              <w:t>货物采购</w:t>
            </w:r>
          </w:p>
        </w:tc>
        <w:tc>
          <w:tcPr>
            <w:tcW w:w="1845" w:type="dxa"/>
            <w:vAlign w:val="center"/>
          </w:tcPr>
          <w:p>
            <w:pPr>
              <w:spacing w:line="240" w:lineRule="auto"/>
              <w:jc w:val="center"/>
              <w:rPr>
                <w:szCs w:val="21"/>
              </w:rPr>
            </w:pPr>
            <w:r>
              <w:rPr>
                <w:szCs w:val="21"/>
              </w:rPr>
              <w:t>服务采购</w:t>
            </w:r>
          </w:p>
        </w:tc>
        <w:tc>
          <w:tcPr>
            <w:tcW w:w="1846" w:type="dxa"/>
            <w:vAlign w:val="center"/>
          </w:tcPr>
          <w:p>
            <w:pPr>
              <w:spacing w:line="240" w:lineRule="auto"/>
              <w:jc w:val="center"/>
              <w:rPr>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pPr>
              <w:spacing w:line="240" w:lineRule="auto"/>
              <w:jc w:val="center"/>
              <w:rPr>
                <w:szCs w:val="21"/>
              </w:rPr>
            </w:pPr>
            <w:r>
              <w:rPr>
                <w:rFonts w:hint="eastAsia"/>
                <w:szCs w:val="21"/>
              </w:rPr>
              <w:t>1.500%</w:t>
            </w:r>
          </w:p>
        </w:tc>
        <w:tc>
          <w:tcPr>
            <w:tcW w:w="1845" w:type="dxa"/>
            <w:vAlign w:val="center"/>
          </w:tcPr>
          <w:p>
            <w:pPr>
              <w:spacing w:line="240" w:lineRule="auto"/>
              <w:jc w:val="center"/>
              <w:rPr>
                <w:szCs w:val="21"/>
              </w:rPr>
            </w:pPr>
            <w:r>
              <w:rPr>
                <w:rFonts w:hint="eastAsia"/>
                <w:szCs w:val="21"/>
              </w:rPr>
              <w:t>1.500%</w:t>
            </w:r>
          </w:p>
        </w:tc>
        <w:tc>
          <w:tcPr>
            <w:tcW w:w="1846" w:type="dxa"/>
            <w:vAlign w:val="center"/>
          </w:tcPr>
          <w:p>
            <w:pPr>
              <w:spacing w:line="240" w:lineRule="auto"/>
              <w:jc w:val="center"/>
              <w:rPr>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100万元（含）-500万元</w:t>
            </w:r>
          </w:p>
        </w:tc>
        <w:tc>
          <w:tcPr>
            <w:tcW w:w="1845" w:type="dxa"/>
            <w:vAlign w:val="center"/>
          </w:tcPr>
          <w:p>
            <w:pPr>
              <w:spacing w:line="240" w:lineRule="auto"/>
              <w:jc w:val="center"/>
              <w:rPr>
                <w:szCs w:val="21"/>
              </w:rPr>
            </w:pPr>
            <w:r>
              <w:rPr>
                <w:rFonts w:hint="eastAsia"/>
                <w:szCs w:val="21"/>
              </w:rPr>
              <w:t>1.100%</w:t>
            </w:r>
          </w:p>
        </w:tc>
        <w:tc>
          <w:tcPr>
            <w:tcW w:w="1845" w:type="dxa"/>
            <w:vAlign w:val="center"/>
          </w:tcPr>
          <w:p>
            <w:pPr>
              <w:spacing w:line="240" w:lineRule="auto"/>
              <w:jc w:val="center"/>
              <w:rPr>
                <w:szCs w:val="21"/>
              </w:rPr>
            </w:pPr>
            <w:r>
              <w:rPr>
                <w:rFonts w:hint="eastAsia"/>
                <w:szCs w:val="21"/>
              </w:rPr>
              <w:t>0.800%</w:t>
            </w:r>
          </w:p>
        </w:tc>
        <w:tc>
          <w:tcPr>
            <w:tcW w:w="1846" w:type="dxa"/>
            <w:vAlign w:val="center"/>
          </w:tcPr>
          <w:p>
            <w:pPr>
              <w:spacing w:line="240" w:lineRule="auto"/>
              <w:jc w:val="center"/>
              <w:rPr>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500万元（含）-1000万元</w:t>
            </w:r>
          </w:p>
        </w:tc>
        <w:tc>
          <w:tcPr>
            <w:tcW w:w="1845" w:type="dxa"/>
            <w:vAlign w:val="center"/>
          </w:tcPr>
          <w:p>
            <w:pPr>
              <w:spacing w:line="240" w:lineRule="auto"/>
              <w:jc w:val="center"/>
              <w:rPr>
                <w:szCs w:val="21"/>
              </w:rPr>
            </w:pPr>
            <w:r>
              <w:rPr>
                <w:rFonts w:hint="eastAsia"/>
                <w:szCs w:val="21"/>
              </w:rPr>
              <w:t>0.800%</w:t>
            </w:r>
          </w:p>
        </w:tc>
        <w:tc>
          <w:tcPr>
            <w:tcW w:w="1845" w:type="dxa"/>
            <w:vAlign w:val="center"/>
          </w:tcPr>
          <w:p>
            <w:pPr>
              <w:spacing w:line="240" w:lineRule="auto"/>
              <w:jc w:val="center"/>
              <w:rPr>
                <w:szCs w:val="21"/>
              </w:rPr>
            </w:pPr>
            <w:r>
              <w:rPr>
                <w:rFonts w:hint="eastAsia"/>
                <w:szCs w:val="21"/>
              </w:rPr>
              <w:t>0.450%</w:t>
            </w:r>
          </w:p>
        </w:tc>
        <w:tc>
          <w:tcPr>
            <w:tcW w:w="1846" w:type="dxa"/>
            <w:vAlign w:val="center"/>
          </w:tcPr>
          <w:p>
            <w:pPr>
              <w:spacing w:line="240" w:lineRule="auto"/>
              <w:jc w:val="center"/>
              <w:rPr>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1000万元（含）-5000万元</w:t>
            </w:r>
          </w:p>
        </w:tc>
        <w:tc>
          <w:tcPr>
            <w:tcW w:w="1845" w:type="dxa"/>
            <w:vAlign w:val="center"/>
          </w:tcPr>
          <w:p>
            <w:pPr>
              <w:spacing w:line="240" w:lineRule="auto"/>
              <w:jc w:val="center"/>
              <w:rPr>
                <w:szCs w:val="21"/>
              </w:rPr>
            </w:pPr>
            <w:r>
              <w:rPr>
                <w:rFonts w:hint="eastAsia"/>
                <w:szCs w:val="21"/>
              </w:rPr>
              <w:t>0.500%</w:t>
            </w:r>
          </w:p>
        </w:tc>
        <w:tc>
          <w:tcPr>
            <w:tcW w:w="1845" w:type="dxa"/>
            <w:vAlign w:val="center"/>
          </w:tcPr>
          <w:p>
            <w:pPr>
              <w:spacing w:line="240" w:lineRule="auto"/>
              <w:jc w:val="center"/>
              <w:rPr>
                <w:szCs w:val="21"/>
              </w:rPr>
            </w:pPr>
            <w:r>
              <w:rPr>
                <w:rFonts w:hint="eastAsia"/>
                <w:szCs w:val="21"/>
              </w:rPr>
              <w:t>0.250%</w:t>
            </w:r>
          </w:p>
        </w:tc>
        <w:tc>
          <w:tcPr>
            <w:tcW w:w="1846" w:type="dxa"/>
            <w:vAlign w:val="center"/>
          </w:tcPr>
          <w:p>
            <w:pPr>
              <w:spacing w:line="240" w:lineRule="auto"/>
              <w:jc w:val="center"/>
              <w:rPr>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5000万元（含）-1亿元</w:t>
            </w:r>
          </w:p>
        </w:tc>
        <w:tc>
          <w:tcPr>
            <w:tcW w:w="1845" w:type="dxa"/>
            <w:vAlign w:val="center"/>
          </w:tcPr>
          <w:p>
            <w:pPr>
              <w:spacing w:line="240" w:lineRule="auto"/>
              <w:jc w:val="center"/>
              <w:rPr>
                <w:szCs w:val="21"/>
              </w:rPr>
            </w:pPr>
            <w:r>
              <w:rPr>
                <w:rFonts w:hint="eastAsia"/>
                <w:szCs w:val="21"/>
              </w:rPr>
              <w:t>0.250%</w:t>
            </w:r>
          </w:p>
        </w:tc>
        <w:tc>
          <w:tcPr>
            <w:tcW w:w="1845" w:type="dxa"/>
            <w:vAlign w:val="center"/>
          </w:tcPr>
          <w:p>
            <w:pPr>
              <w:spacing w:line="240" w:lineRule="auto"/>
              <w:jc w:val="center"/>
              <w:rPr>
                <w:szCs w:val="21"/>
              </w:rPr>
            </w:pPr>
            <w:r>
              <w:rPr>
                <w:rFonts w:hint="eastAsia"/>
                <w:szCs w:val="21"/>
              </w:rPr>
              <w:t>0.100%</w:t>
            </w:r>
          </w:p>
        </w:tc>
        <w:tc>
          <w:tcPr>
            <w:tcW w:w="1846" w:type="dxa"/>
            <w:vAlign w:val="center"/>
          </w:tcPr>
          <w:p>
            <w:pPr>
              <w:spacing w:line="240" w:lineRule="auto"/>
              <w:jc w:val="center"/>
              <w:rPr>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1亿元（含）-5亿元</w:t>
            </w:r>
          </w:p>
        </w:tc>
        <w:tc>
          <w:tcPr>
            <w:tcW w:w="1845" w:type="dxa"/>
            <w:vAlign w:val="center"/>
          </w:tcPr>
          <w:p>
            <w:pPr>
              <w:spacing w:line="240" w:lineRule="auto"/>
              <w:jc w:val="center"/>
              <w:rPr>
                <w:szCs w:val="21"/>
              </w:rPr>
            </w:pPr>
            <w:r>
              <w:rPr>
                <w:rFonts w:hint="eastAsia"/>
                <w:szCs w:val="21"/>
              </w:rPr>
              <w:t>0.050%</w:t>
            </w:r>
          </w:p>
        </w:tc>
        <w:tc>
          <w:tcPr>
            <w:tcW w:w="1845" w:type="dxa"/>
            <w:vAlign w:val="center"/>
          </w:tcPr>
          <w:p>
            <w:pPr>
              <w:spacing w:line="240" w:lineRule="auto"/>
              <w:jc w:val="center"/>
              <w:rPr>
                <w:szCs w:val="21"/>
              </w:rPr>
            </w:pPr>
            <w:r>
              <w:rPr>
                <w:rFonts w:hint="eastAsia"/>
                <w:szCs w:val="21"/>
              </w:rPr>
              <w:t>0.050%</w:t>
            </w:r>
          </w:p>
        </w:tc>
        <w:tc>
          <w:tcPr>
            <w:tcW w:w="1846" w:type="dxa"/>
            <w:vAlign w:val="center"/>
          </w:tcPr>
          <w:p>
            <w:pPr>
              <w:spacing w:line="240" w:lineRule="auto"/>
              <w:jc w:val="center"/>
              <w:rPr>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5亿元（含）-10亿元</w:t>
            </w:r>
          </w:p>
        </w:tc>
        <w:tc>
          <w:tcPr>
            <w:tcW w:w="1845" w:type="dxa"/>
            <w:vAlign w:val="center"/>
          </w:tcPr>
          <w:p>
            <w:pPr>
              <w:spacing w:line="240" w:lineRule="auto"/>
              <w:jc w:val="center"/>
              <w:rPr>
                <w:szCs w:val="21"/>
              </w:rPr>
            </w:pPr>
            <w:r>
              <w:rPr>
                <w:rFonts w:hint="eastAsia"/>
                <w:szCs w:val="21"/>
              </w:rPr>
              <w:t>0.035%</w:t>
            </w:r>
          </w:p>
        </w:tc>
        <w:tc>
          <w:tcPr>
            <w:tcW w:w="1845" w:type="dxa"/>
            <w:vAlign w:val="center"/>
          </w:tcPr>
          <w:p>
            <w:pPr>
              <w:spacing w:line="240" w:lineRule="auto"/>
              <w:jc w:val="center"/>
              <w:rPr>
                <w:szCs w:val="21"/>
              </w:rPr>
            </w:pPr>
            <w:r>
              <w:rPr>
                <w:rFonts w:hint="eastAsia"/>
                <w:szCs w:val="21"/>
              </w:rPr>
              <w:t>0.035%</w:t>
            </w:r>
          </w:p>
        </w:tc>
        <w:tc>
          <w:tcPr>
            <w:tcW w:w="1846" w:type="dxa"/>
            <w:vAlign w:val="center"/>
          </w:tcPr>
          <w:p>
            <w:pPr>
              <w:spacing w:line="240" w:lineRule="auto"/>
              <w:jc w:val="center"/>
              <w:rPr>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10亿元（含）-50亿元</w:t>
            </w:r>
          </w:p>
        </w:tc>
        <w:tc>
          <w:tcPr>
            <w:tcW w:w="1845" w:type="dxa"/>
            <w:vAlign w:val="center"/>
          </w:tcPr>
          <w:p>
            <w:pPr>
              <w:spacing w:line="240" w:lineRule="auto"/>
              <w:jc w:val="center"/>
              <w:rPr>
                <w:szCs w:val="21"/>
              </w:rPr>
            </w:pPr>
            <w:r>
              <w:rPr>
                <w:rFonts w:hint="eastAsia"/>
                <w:szCs w:val="21"/>
              </w:rPr>
              <w:t>0.008%</w:t>
            </w:r>
          </w:p>
        </w:tc>
        <w:tc>
          <w:tcPr>
            <w:tcW w:w="1845" w:type="dxa"/>
            <w:vAlign w:val="center"/>
          </w:tcPr>
          <w:p>
            <w:pPr>
              <w:spacing w:line="240" w:lineRule="auto"/>
              <w:jc w:val="center"/>
              <w:rPr>
                <w:szCs w:val="21"/>
              </w:rPr>
            </w:pPr>
            <w:r>
              <w:rPr>
                <w:rFonts w:hint="eastAsia"/>
                <w:szCs w:val="21"/>
              </w:rPr>
              <w:t>0.008%</w:t>
            </w:r>
          </w:p>
        </w:tc>
        <w:tc>
          <w:tcPr>
            <w:tcW w:w="1846" w:type="dxa"/>
            <w:vAlign w:val="center"/>
          </w:tcPr>
          <w:p>
            <w:pPr>
              <w:spacing w:line="240" w:lineRule="auto"/>
              <w:jc w:val="center"/>
              <w:rPr>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50亿元（含）-100亿元</w:t>
            </w:r>
          </w:p>
        </w:tc>
        <w:tc>
          <w:tcPr>
            <w:tcW w:w="1845" w:type="dxa"/>
            <w:vAlign w:val="center"/>
          </w:tcPr>
          <w:p>
            <w:pPr>
              <w:spacing w:line="240" w:lineRule="auto"/>
              <w:jc w:val="center"/>
              <w:rPr>
                <w:szCs w:val="21"/>
              </w:rPr>
            </w:pPr>
            <w:r>
              <w:rPr>
                <w:rFonts w:hint="eastAsia"/>
                <w:szCs w:val="21"/>
              </w:rPr>
              <w:t>0.006%</w:t>
            </w:r>
          </w:p>
        </w:tc>
        <w:tc>
          <w:tcPr>
            <w:tcW w:w="1845" w:type="dxa"/>
            <w:vAlign w:val="center"/>
          </w:tcPr>
          <w:p>
            <w:pPr>
              <w:spacing w:line="240" w:lineRule="auto"/>
              <w:jc w:val="center"/>
              <w:rPr>
                <w:szCs w:val="21"/>
              </w:rPr>
            </w:pPr>
            <w:r>
              <w:rPr>
                <w:rFonts w:hint="eastAsia"/>
                <w:szCs w:val="21"/>
              </w:rPr>
              <w:t>0.006%</w:t>
            </w:r>
          </w:p>
        </w:tc>
        <w:tc>
          <w:tcPr>
            <w:tcW w:w="1846" w:type="dxa"/>
            <w:vAlign w:val="center"/>
          </w:tcPr>
          <w:p>
            <w:pPr>
              <w:spacing w:line="240" w:lineRule="auto"/>
              <w:jc w:val="center"/>
              <w:rPr>
                <w:szCs w:val="21"/>
              </w:rPr>
            </w:pPr>
            <w:r>
              <w:rPr>
                <w:rFonts w:hint="eastAsia"/>
                <w:szCs w:val="21"/>
              </w:rPr>
              <w:t>0.006%</w:t>
            </w:r>
          </w:p>
        </w:tc>
      </w:tr>
    </w:tbl>
    <w:p>
      <w:pPr>
        <w:tabs>
          <w:tab w:val="clear" w:pos="426"/>
        </w:tabs>
        <w:ind w:left="424" w:leftChars="202" w:firstLine="440" w:firstLineChars="200"/>
        <w:rPr>
          <w:sz w:val="22"/>
        </w:rPr>
      </w:pPr>
      <w:r>
        <w:rPr>
          <w:rFonts w:hint="eastAsia"/>
          <w:sz w:val="22"/>
        </w:rPr>
        <w:t>以某包5000万项目货物类招标为例：</w:t>
      </w:r>
    </w:p>
    <w:p>
      <w:pPr>
        <w:tabs>
          <w:tab w:val="clear" w:pos="426"/>
        </w:tabs>
        <w:ind w:left="424" w:leftChars="202" w:firstLine="440" w:firstLineChars="200"/>
        <w:rPr>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sz w:val="22"/>
        </w:rPr>
      </w:pPr>
      <w:r>
        <w:rPr>
          <w:rFonts w:hint="eastAsia"/>
          <w:sz w:val="22"/>
        </w:rPr>
        <w:t xml:space="preserve">100万元×1.5%=1.5万元   </w:t>
      </w:r>
    </w:p>
    <w:p>
      <w:pPr>
        <w:tabs>
          <w:tab w:val="clear" w:pos="426"/>
        </w:tabs>
        <w:ind w:left="424" w:leftChars="202" w:firstLine="440" w:firstLineChars="200"/>
        <w:rPr>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4EE3"/>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6F5D"/>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0BBB"/>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39"/>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BD1"/>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350D"/>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40B"/>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02E"/>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6F4"/>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C7DE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868"/>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B28"/>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6DC"/>
    <w:rsid w:val="00284F37"/>
    <w:rsid w:val="00285523"/>
    <w:rsid w:val="002857C6"/>
    <w:rsid w:val="002859F5"/>
    <w:rsid w:val="00285FAC"/>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2F08"/>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911"/>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9F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9C2"/>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0C"/>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D62"/>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3A62"/>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176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B16"/>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12"/>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74D"/>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38"/>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0C6"/>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ACB"/>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590"/>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CFA"/>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4A"/>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088"/>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57FF9"/>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95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B09"/>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59B"/>
    <w:rsid w:val="007C4CB1"/>
    <w:rsid w:val="007C5029"/>
    <w:rsid w:val="007C527A"/>
    <w:rsid w:val="007C543F"/>
    <w:rsid w:val="007C6A0A"/>
    <w:rsid w:val="007C6DD2"/>
    <w:rsid w:val="007C6E85"/>
    <w:rsid w:val="007C6EA8"/>
    <w:rsid w:val="007C6F36"/>
    <w:rsid w:val="007C70A7"/>
    <w:rsid w:val="007C73B0"/>
    <w:rsid w:val="007C74D2"/>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74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5E4C"/>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2B6A"/>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270"/>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053"/>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659"/>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8F8"/>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2FA5"/>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456"/>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3A"/>
    <w:rsid w:val="009A09B4"/>
    <w:rsid w:val="009A10A4"/>
    <w:rsid w:val="009A1332"/>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9F1"/>
    <w:rsid w:val="00A36B46"/>
    <w:rsid w:val="00A36BD5"/>
    <w:rsid w:val="00A37269"/>
    <w:rsid w:val="00A374B1"/>
    <w:rsid w:val="00A401BF"/>
    <w:rsid w:val="00A40906"/>
    <w:rsid w:val="00A409B8"/>
    <w:rsid w:val="00A40C3D"/>
    <w:rsid w:val="00A40D0C"/>
    <w:rsid w:val="00A41302"/>
    <w:rsid w:val="00A415E2"/>
    <w:rsid w:val="00A419ED"/>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4D89"/>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25"/>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3D6B"/>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D0F"/>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CB2"/>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07B"/>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4F8"/>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28F"/>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65A"/>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992"/>
    <w:rsid w:val="00D03A13"/>
    <w:rsid w:val="00D03F31"/>
    <w:rsid w:val="00D041BF"/>
    <w:rsid w:val="00D04451"/>
    <w:rsid w:val="00D04454"/>
    <w:rsid w:val="00D045FD"/>
    <w:rsid w:val="00D05061"/>
    <w:rsid w:val="00D0586B"/>
    <w:rsid w:val="00D05A0A"/>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218"/>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483"/>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A43"/>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B7EAE"/>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AD2"/>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547"/>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188F"/>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C7C78"/>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BA"/>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CBC"/>
    <w:rsid w:val="00F85DEC"/>
    <w:rsid w:val="00F85FD9"/>
    <w:rsid w:val="00F8615F"/>
    <w:rsid w:val="00F86637"/>
    <w:rsid w:val="00F86D4E"/>
    <w:rsid w:val="00F86E6F"/>
    <w:rsid w:val="00F87BEF"/>
    <w:rsid w:val="00F87D18"/>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17F69"/>
    <w:rsid w:val="01396E1E"/>
    <w:rsid w:val="01457570"/>
    <w:rsid w:val="018E53BB"/>
    <w:rsid w:val="01B078E1"/>
    <w:rsid w:val="01C20BC1"/>
    <w:rsid w:val="024F656F"/>
    <w:rsid w:val="03125B78"/>
    <w:rsid w:val="05810D93"/>
    <w:rsid w:val="05D9038E"/>
    <w:rsid w:val="06507E65"/>
    <w:rsid w:val="06B55883"/>
    <w:rsid w:val="07245E7A"/>
    <w:rsid w:val="07574D9C"/>
    <w:rsid w:val="07DE090C"/>
    <w:rsid w:val="08290F2E"/>
    <w:rsid w:val="085F1E58"/>
    <w:rsid w:val="08E7715F"/>
    <w:rsid w:val="08EE6740"/>
    <w:rsid w:val="0906165B"/>
    <w:rsid w:val="09300E18"/>
    <w:rsid w:val="09647D8F"/>
    <w:rsid w:val="096B5FE2"/>
    <w:rsid w:val="09FF148C"/>
    <w:rsid w:val="0A026946"/>
    <w:rsid w:val="0A1F007C"/>
    <w:rsid w:val="0A2A7FE0"/>
    <w:rsid w:val="0A410AF1"/>
    <w:rsid w:val="0A777171"/>
    <w:rsid w:val="0A856C30"/>
    <w:rsid w:val="0AF0634E"/>
    <w:rsid w:val="0B5E288D"/>
    <w:rsid w:val="0B6D4760"/>
    <w:rsid w:val="0B8339ED"/>
    <w:rsid w:val="0C290BC7"/>
    <w:rsid w:val="0C30706F"/>
    <w:rsid w:val="0C931AD8"/>
    <w:rsid w:val="0CA1105F"/>
    <w:rsid w:val="0CA737D5"/>
    <w:rsid w:val="0CBB6000"/>
    <w:rsid w:val="0CCE34EE"/>
    <w:rsid w:val="0CE410C9"/>
    <w:rsid w:val="0D1501C9"/>
    <w:rsid w:val="0D4B14D3"/>
    <w:rsid w:val="0E146C48"/>
    <w:rsid w:val="0E165CA5"/>
    <w:rsid w:val="0E21353B"/>
    <w:rsid w:val="0E4842B3"/>
    <w:rsid w:val="0EA80944"/>
    <w:rsid w:val="0EAA135B"/>
    <w:rsid w:val="0EC20200"/>
    <w:rsid w:val="0F113188"/>
    <w:rsid w:val="0F1A43CF"/>
    <w:rsid w:val="0FC1695C"/>
    <w:rsid w:val="0FC63F72"/>
    <w:rsid w:val="0FD06B9F"/>
    <w:rsid w:val="0FFD2004"/>
    <w:rsid w:val="10046336"/>
    <w:rsid w:val="10190EEA"/>
    <w:rsid w:val="10D736B1"/>
    <w:rsid w:val="11144CCC"/>
    <w:rsid w:val="112278CE"/>
    <w:rsid w:val="11421D1E"/>
    <w:rsid w:val="115832F0"/>
    <w:rsid w:val="1238019B"/>
    <w:rsid w:val="12803108"/>
    <w:rsid w:val="12C35D57"/>
    <w:rsid w:val="134C5158"/>
    <w:rsid w:val="13613ABC"/>
    <w:rsid w:val="13655850"/>
    <w:rsid w:val="137912FC"/>
    <w:rsid w:val="13857CA0"/>
    <w:rsid w:val="139A265D"/>
    <w:rsid w:val="13B011C1"/>
    <w:rsid w:val="13C52DC7"/>
    <w:rsid w:val="14185704"/>
    <w:rsid w:val="142E0338"/>
    <w:rsid w:val="14432454"/>
    <w:rsid w:val="1473228E"/>
    <w:rsid w:val="14C33176"/>
    <w:rsid w:val="14CC7C00"/>
    <w:rsid w:val="14D27A24"/>
    <w:rsid w:val="15606A59"/>
    <w:rsid w:val="161D2A4D"/>
    <w:rsid w:val="16426A1B"/>
    <w:rsid w:val="16A973E8"/>
    <w:rsid w:val="1717516A"/>
    <w:rsid w:val="172911EC"/>
    <w:rsid w:val="173F6692"/>
    <w:rsid w:val="17E82DB7"/>
    <w:rsid w:val="1877313A"/>
    <w:rsid w:val="189F35B2"/>
    <w:rsid w:val="18C92972"/>
    <w:rsid w:val="19F45B80"/>
    <w:rsid w:val="1A9F789A"/>
    <w:rsid w:val="1AA87BD2"/>
    <w:rsid w:val="1B395F40"/>
    <w:rsid w:val="1C263325"/>
    <w:rsid w:val="1CB46F25"/>
    <w:rsid w:val="1E2C09AB"/>
    <w:rsid w:val="1E5C1674"/>
    <w:rsid w:val="1E6432D4"/>
    <w:rsid w:val="1E935967"/>
    <w:rsid w:val="1FD40BF1"/>
    <w:rsid w:val="20261070"/>
    <w:rsid w:val="205F23C3"/>
    <w:rsid w:val="20D675C5"/>
    <w:rsid w:val="20D74DDE"/>
    <w:rsid w:val="20D84460"/>
    <w:rsid w:val="20F55B55"/>
    <w:rsid w:val="210448FA"/>
    <w:rsid w:val="218B501C"/>
    <w:rsid w:val="22C75BE0"/>
    <w:rsid w:val="22F34C27"/>
    <w:rsid w:val="23803FC4"/>
    <w:rsid w:val="242179DA"/>
    <w:rsid w:val="246761DA"/>
    <w:rsid w:val="254A56C0"/>
    <w:rsid w:val="25B05051"/>
    <w:rsid w:val="26614CAD"/>
    <w:rsid w:val="26692359"/>
    <w:rsid w:val="270277E7"/>
    <w:rsid w:val="27045DE2"/>
    <w:rsid w:val="27B16E5E"/>
    <w:rsid w:val="281335CC"/>
    <w:rsid w:val="28550131"/>
    <w:rsid w:val="288325A9"/>
    <w:rsid w:val="289E3C55"/>
    <w:rsid w:val="29192F0D"/>
    <w:rsid w:val="292672D4"/>
    <w:rsid w:val="2AF8398E"/>
    <w:rsid w:val="2AFB4FC0"/>
    <w:rsid w:val="2B3050F9"/>
    <w:rsid w:val="2B696A33"/>
    <w:rsid w:val="2C051F5E"/>
    <w:rsid w:val="2CD755B9"/>
    <w:rsid w:val="2CF84D34"/>
    <w:rsid w:val="2D6A3F24"/>
    <w:rsid w:val="2D716A26"/>
    <w:rsid w:val="2DE83A3A"/>
    <w:rsid w:val="2DFC4DDB"/>
    <w:rsid w:val="2E1F5933"/>
    <w:rsid w:val="2E6E3F01"/>
    <w:rsid w:val="2EC767E9"/>
    <w:rsid w:val="2EDB5235"/>
    <w:rsid w:val="2F2B1BEC"/>
    <w:rsid w:val="2FC76FBB"/>
    <w:rsid w:val="308A5DD7"/>
    <w:rsid w:val="319B1E4E"/>
    <w:rsid w:val="31D37F49"/>
    <w:rsid w:val="321D581C"/>
    <w:rsid w:val="321D6FE5"/>
    <w:rsid w:val="324F174E"/>
    <w:rsid w:val="32AC6B69"/>
    <w:rsid w:val="32B37F2E"/>
    <w:rsid w:val="32E60304"/>
    <w:rsid w:val="33376F4A"/>
    <w:rsid w:val="33753436"/>
    <w:rsid w:val="33996BA0"/>
    <w:rsid w:val="34B424E6"/>
    <w:rsid w:val="34CF7D73"/>
    <w:rsid w:val="34E268A9"/>
    <w:rsid w:val="3518676F"/>
    <w:rsid w:val="3529272A"/>
    <w:rsid w:val="35A563B0"/>
    <w:rsid w:val="36002765"/>
    <w:rsid w:val="3667350A"/>
    <w:rsid w:val="3686688B"/>
    <w:rsid w:val="369E0EF6"/>
    <w:rsid w:val="36EB330F"/>
    <w:rsid w:val="37B502A5"/>
    <w:rsid w:val="37BE0F45"/>
    <w:rsid w:val="37BE6AE4"/>
    <w:rsid w:val="380B09E4"/>
    <w:rsid w:val="38C22C79"/>
    <w:rsid w:val="39346C81"/>
    <w:rsid w:val="3A4E1641"/>
    <w:rsid w:val="3A5E2E76"/>
    <w:rsid w:val="3A881CA1"/>
    <w:rsid w:val="3A8D5671"/>
    <w:rsid w:val="3A932EBB"/>
    <w:rsid w:val="3C566A17"/>
    <w:rsid w:val="3C94492D"/>
    <w:rsid w:val="3CD17661"/>
    <w:rsid w:val="3D0F2205"/>
    <w:rsid w:val="3D5C388A"/>
    <w:rsid w:val="3D842BF3"/>
    <w:rsid w:val="3E17459E"/>
    <w:rsid w:val="3E1C2E2C"/>
    <w:rsid w:val="3E491D1E"/>
    <w:rsid w:val="3EA15EE7"/>
    <w:rsid w:val="3EA710F9"/>
    <w:rsid w:val="3F0F2990"/>
    <w:rsid w:val="3F227025"/>
    <w:rsid w:val="401364B0"/>
    <w:rsid w:val="40844CB8"/>
    <w:rsid w:val="41173D7E"/>
    <w:rsid w:val="414904A5"/>
    <w:rsid w:val="414C7ECC"/>
    <w:rsid w:val="426D00FA"/>
    <w:rsid w:val="42A50CDE"/>
    <w:rsid w:val="42F02AD9"/>
    <w:rsid w:val="442055BD"/>
    <w:rsid w:val="44834563"/>
    <w:rsid w:val="451F3201"/>
    <w:rsid w:val="453666E3"/>
    <w:rsid w:val="4597548E"/>
    <w:rsid w:val="45C85AD5"/>
    <w:rsid w:val="45E2495B"/>
    <w:rsid w:val="45EF7078"/>
    <w:rsid w:val="46F55035"/>
    <w:rsid w:val="47501768"/>
    <w:rsid w:val="475950F1"/>
    <w:rsid w:val="47641DC7"/>
    <w:rsid w:val="47651B77"/>
    <w:rsid w:val="478974E3"/>
    <w:rsid w:val="47995DCD"/>
    <w:rsid w:val="47F6293F"/>
    <w:rsid w:val="47F72214"/>
    <w:rsid w:val="47FB61A8"/>
    <w:rsid w:val="487B4BF3"/>
    <w:rsid w:val="48967C7F"/>
    <w:rsid w:val="48A4054C"/>
    <w:rsid w:val="48B87BF5"/>
    <w:rsid w:val="493D129C"/>
    <w:rsid w:val="49E65525"/>
    <w:rsid w:val="4A5C54F9"/>
    <w:rsid w:val="4A673681"/>
    <w:rsid w:val="4A9D1E36"/>
    <w:rsid w:val="4AB3357B"/>
    <w:rsid w:val="4BA10E14"/>
    <w:rsid w:val="4BA91792"/>
    <w:rsid w:val="4BCE29F7"/>
    <w:rsid w:val="4BD765E4"/>
    <w:rsid w:val="4D0C69A9"/>
    <w:rsid w:val="4D3A37DB"/>
    <w:rsid w:val="4D8462B2"/>
    <w:rsid w:val="4DB415C8"/>
    <w:rsid w:val="4DB80D17"/>
    <w:rsid w:val="4DB91634"/>
    <w:rsid w:val="4DCD4142"/>
    <w:rsid w:val="4E74636C"/>
    <w:rsid w:val="4ED43CAB"/>
    <w:rsid w:val="4F137F8C"/>
    <w:rsid w:val="4F714FA1"/>
    <w:rsid w:val="4F7379C3"/>
    <w:rsid w:val="4F7529A7"/>
    <w:rsid w:val="4F9C201E"/>
    <w:rsid w:val="4FD80B7D"/>
    <w:rsid w:val="500F5A41"/>
    <w:rsid w:val="50642410"/>
    <w:rsid w:val="50B21982"/>
    <w:rsid w:val="511E278C"/>
    <w:rsid w:val="518C60EA"/>
    <w:rsid w:val="52093015"/>
    <w:rsid w:val="528523B0"/>
    <w:rsid w:val="52D1325F"/>
    <w:rsid w:val="535D0132"/>
    <w:rsid w:val="53923305"/>
    <w:rsid w:val="541C0E3A"/>
    <w:rsid w:val="54437D45"/>
    <w:rsid w:val="54A15393"/>
    <w:rsid w:val="54E0475B"/>
    <w:rsid w:val="55540A0D"/>
    <w:rsid w:val="555E7D76"/>
    <w:rsid w:val="5563713A"/>
    <w:rsid w:val="55C238A1"/>
    <w:rsid w:val="56113491"/>
    <w:rsid w:val="561F12B3"/>
    <w:rsid w:val="56E821B5"/>
    <w:rsid w:val="57131198"/>
    <w:rsid w:val="5726041F"/>
    <w:rsid w:val="57452F9B"/>
    <w:rsid w:val="57664335"/>
    <w:rsid w:val="582941A3"/>
    <w:rsid w:val="58626CF5"/>
    <w:rsid w:val="586316C4"/>
    <w:rsid w:val="58684954"/>
    <w:rsid w:val="58A0024F"/>
    <w:rsid w:val="594159E5"/>
    <w:rsid w:val="599B50F5"/>
    <w:rsid w:val="5A153E74"/>
    <w:rsid w:val="5A634F59"/>
    <w:rsid w:val="5ABA3CA0"/>
    <w:rsid w:val="5AE8674D"/>
    <w:rsid w:val="5B370E4D"/>
    <w:rsid w:val="5B8F47E5"/>
    <w:rsid w:val="5BE96B00"/>
    <w:rsid w:val="5C0F231B"/>
    <w:rsid w:val="5C621EFA"/>
    <w:rsid w:val="5D481B17"/>
    <w:rsid w:val="5D6D2855"/>
    <w:rsid w:val="5D8B58C8"/>
    <w:rsid w:val="5DC74F93"/>
    <w:rsid w:val="5DEA73A2"/>
    <w:rsid w:val="5E0E772A"/>
    <w:rsid w:val="5E362F0B"/>
    <w:rsid w:val="5E707EA2"/>
    <w:rsid w:val="5E774A07"/>
    <w:rsid w:val="5E9D190F"/>
    <w:rsid w:val="5F051C85"/>
    <w:rsid w:val="5FAE0E5F"/>
    <w:rsid w:val="5FD50C35"/>
    <w:rsid w:val="603D5158"/>
    <w:rsid w:val="60B46AA4"/>
    <w:rsid w:val="60CC2038"/>
    <w:rsid w:val="60ED3B56"/>
    <w:rsid w:val="610F0176"/>
    <w:rsid w:val="613320B7"/>
    <w:rsid w:val="61720DAB"/>
    <w:rsid w:val="61C03E43"/>
    <w:rsid w:val="629D1EDE"/>
    <w:rsid w:val="62A911C3"/>
    <w:rsid w:val="62EC1A48"/>
    <w:rsid w:val="63251ED3"/>
    <w:rsid w:val="635665E4"/>
    <w:rsid w:val="63927420"/>
    <w:rsid w:val="63BD38E4"/>
    <w:rsid w:val="646C194A"/>
    <w:rsid w:val="646D1D84"/>
    <w:rsid w:val="647924D6"/>
    <w:rsid w:val="64E15685"/>
    <w:rsid w:val="65622F6B"/>
    <w:rsid w:val="65D06126"/>
    <w:rsid w:val="661350C1"/>
    <w:rsid w:val="661F65EF"/>
    <w:rsid w:val="66301079"/>
    <w:rsid w:val="66666A8A"/>
    <w:rsid w:val="66680A54"/>
    <w:rsid w:val="66794A10"/>
    <w:rsid w:val="668F4233"/>
    <w:rsid w:val="67B87541"/>
    <w:rsid w:val="68080E6A"/>
    <w:rsid w:val="680C4CB4"/>
    <w:rsid w:val="686B482C"/>
    <w:rsid w:val="68D76D7C"/>
    <w:rsid w:val="694E2184"/>
    <w:rsid w:val="69942B10"/>
    <w:rsid w:val="6A162576"/>
    <w:rsid w:val="6A2E5B11"/>
    <w:rsid w:val="6A46671D"/>
    <w:rsid w:val="6A923CF1"/>
    <w:rsid w:val="6B064398"/>
    <w:rsid w:val="6B105217"/>
    <w:rsid w:val="6B387DCC"/>
    <w:rsid w:val="6B3E663C"/>
    <w:rsid w:val="6BA11F09"/>
    <w:rsid w:val="6BDB513A"/>
    <w:rsid w:val="6C101852"/>
    <w:rsid w:val="6C1E3A57"/>
    <w:rsid w:val="6C946514"/>
    <w:rsid w:val="6CBB1524"/>
    <w:rsid w:val="6CBC6118"/>
    <w:rsid w:val="6CCD080F"/>
    <w:rsid w:val="6CE557BD"/>
    <w:rsid w:val="6D837F22"/>
    <w:rsid w:val="6DEC3D19"/>
    <w:rsid w:val="6E3F653F"/>
    <w:rsid w:val="6E4448A1"/>
    <w:rsid w:val="6EB02F99"/>
    <w:rsid w:val="6EFA2466"/>
    <w:rsid w:val="6F7748A7"/>
    <w:rsid w:val="6F8739CA"/>
    <w:rsid w:val="6FF869A5"/>
    <w:rsid w:val="700A0487"/>
    <w:rsid w:val="706109EE"/>
    <w:rsid w:val="706202C3"/>
    <w:rsid w:val="70B56644"/>
    <w:rsid w:val="70CC1BE0"/>
    <w:rsid w:val="713E4EC0"/>
    <w:rsid w:val="71551BD5"/>
    <w:rsid w:val="715A71EC"/>
    <w:rsid w:val="71601728"/>
    <w:rsid w:val="717A163C"/>
    <w:rsid w:val="71916451"/>
    <w:rsid w:val="71BD6397"/>
    <w:rsid w:val="72253128"/>
    <w:rsid w:val="72534E9D"/>
    <w:rsid w:val="731437CB"/>
    <w:rsid w:val="73155BD6"/>
    <w:rsid w:val="73267CCD"/>
    <w:rsid w:val="73AB60DD"/>
    <w:rsid w:val="74235FBB"/>
    <w:rsid w:val="74281823"/>
    <w:rsid w:val="7530273D"/>
    <w:rsid w:val="75471C28"/>
    <w:rsid w:val="756E480E"/>
    <w:rsid w:val="75CC7809"/>
    <w:rsid w:val="75E672A0"/>
    <w:rsid w:val="75F419BD"/>
    <w:rsid w:val="76036E05"/>
    <w:rsid w:val="76083B2D"/>
    <w:rsid w:val="76BF71EE"/>
    <w:rsid w:val="7726029C"/>
    <w:rsid w:val="774175FE"/>
    <w:rsid w:val="77562203"/>
    <w:rsid w:val="77C33D3D"/>
    <w:rsid w:val="783562BD"/>
    <w:rsid w:val="78857244"/>
    <w:rsid w:val="796F65E1"/>
    <w:rsid w:val="79E157E7"/>
    <w:rsid w:val="7A5C5D83"/>
    <w:rsid w:val="7AB45BBF"/>
    <w:rsid w:val="7B7610C6"/>
    <w:rsid w:val="7BAE39B2"/>
    <w:rsid w:val="7C6525CC"/>
    <w:rsid w:val="7C7326A1"/>
    <w:rsid w:val="7C934A01"/>
    <w:rsid w:val="7CA26617"/>
    <w:rsid w:val="7CC3658D"/>
    <w:rsid w:val="7CEA1D6C"/>
    <w:rsid w:val="7D4F4AFF"/>
    <w:rsid w:val="7DC607F5"/>
    <w:rsid w:val="7DEE13E8"/>
    <w:rsid w:val="7E9E4BBC"/>
    <w:rsid w:val="7EA22840"/>
    <w:rsid w:val="7EA25C27"/>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修订17"/>
    <w:hidden/>
    <w:unhideWhenUsed/>
    <w:qFormat/>
    <w:uiPriority w:val="99"/>
    <w:rPr>
      <w:rFonts w:ascii="宋体" w:hAnsi="宋体" w:eastAsia="宋体" w:cs="宋体"/>
      <w:sz w:val="21"/>
      <w:szCs w:val="24"/>
      <w:lang w:val="en-US" w:eastAsia="zh-CN" w:bidi="ar-SA"/>
    </w:rPr>
  </w:style>
  <w:style w:type="paragraph" w:customStyle="1" w:styleId="643">
    <w:name w:val="修订18"/>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0DE8-F828-45E3-9316-D312B22F3C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65189</Words>
  <Characters>70831</Characters>
  <Lines>553</Lines>
  <Paragraphs>155</Paragraphs>
  <TotalTime>1</TotalTime>
  <ScaleCrop>false</ScaleCrop>
  <LinksUpToDate>false</LinksUpToDate>
  <CharactersWithSpaces>72118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2024-10-29T03:19:00Z</dcterms:created>
  <dc:creator>thsware</dc:creator>
  <cp:lastModifiedBy>微信用户</cp:lastModifiedBy>
  <cp:lastPrinted>2024-10-12T06:08:00Z</cp:lastPrinted>
  <dcterms:modified xsi:type="dcterms:W3CDTF">2024-11-28T04:07:59Z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5B7A434E00CD418A83FD454A5A47DDE6_13</vt:lpwstr>
  </property>
</Properties>
</file>